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F5" w:rsidRPr="00DC0DE8" w:rsidRDefault="00573C23" w:rsidP="00DC0DE8">
      <w:pPr>
        <w:jc w:val="center"/>
        <w:rPr>
          <w:b/>
          <w:sz w:val="24"/>
        </w:rPr>
      </w:pPr>
      <w:bookmarkStart w:id="0" w:name="_GoBack"/>
      <w:bookmarkEnd w:id="0"/>
      <w:r w:rsidRPr="00DC0DE8">
        <w:rPr>
          <w:b/>
          <w:sz w:val="24"/>
        </w:rPr>
        <w:t>La pêche aux alphas, niveau 2 : cours de perfectionnement</w:t>
      </w:r>
    </w:p>
    <w:p w:rsidR="00573C23" w:rsidRDefault="00573C23"/>
    <w:p w:rsidR="00573C23" w:rsidRDefault="00573C23" w:rsidP="001C7427">
      <w:pPr>
        <w:jc w:val="both"/>
      </w:pPr>
      <w:r>
        <w:t>Nous avons vu, dans un article précédent, commen</w:t>
      </w:r>
      <w:r w:rsidR="00815922">
        <w:t>t un astrologue pouvait montrer</w:t>
      </w:r>
      <w:r>
        <w:t xml:space="preserve"> (presque) scientifiquement un lien entre signe astrologique et cancer, grâce à une technique in</w:t>
      </w:r>
      <w:r w:rsidR="003B7458">
        <w:t xml:space="preserve">faillible : la pêche </w:t>
      </w:r>
      <w:r w:rsidR="000F3644">
        <w:t>aux alphas, c’est-à-dire</w:t>
      </w:r>
      <w:r w:rsidR="003B7458">
        <w:t xml:space="preserve"> la mise en avant de résultats statistiquement significatifs, mais obtenus en fait u</w:t>
      </w:r>
      <w:r w:rsidR="00B51633">
        <w:t>niquement par l’effet du hasard</w:t>
      </w:r>
      <w:r w:rsidR="000F3644">
        <w:t>.</w:t>
      </w:r>
    </w:p>
    <w:p w:rsidR="00573C23" w:rsidRDefault="003B7458" w:rsidP="001C7427">
      <w:pPr>
        <w:jc w:val="both"/>
      </w:pPr>
      <w:r>
        <w:t>Pour être franc,</w:t>
      </w:r>
      <w:r w:rsidR="00573C23">
        <w:t xml:space="preserve"> la méthode employée </w:t>
      </w:r>
      <w:r w:rsidR="00916C45">
        <w:t xml:space="preserve">dans cet exemple </w:t>
      </w:r>
      <w:r w:rsidR="00573C23">
        <w:t xml:space="preserve">était </w:t>
      </w:r>
      <w:r w:rsidR="00A55561">
        <w:t xml:space="preserve">quand même un peu </w:t>
      </w:r>
      <w:r w:rsidR="00573C23">
        <w:t xml:space="preserve">basique. </w:t>
      </w:r>
      <w:r>
        <w:t xml:space="preserve">S’il veut </w:t>
      </w:r>
      <w:r w:rsidR="00573C23">
        <w:t>faire carrière</w:t>
      </w:r>
      <w:r w:rsidR="00916C45">
        <w:t>, un scientifique doit parfois convaincre</w:t>
      </w:r>
      <w:r w:rsidR="00573C23">
        <w:t xml:space="preserve"> des publics un peu </w:t>
      </w:r>
      <w:r w:rsidR="00FA3CD7">
        <w:t>moins conciliant</w:t>
      </w:r>
      <w:r w:rsidR="000F3644">
        <w:t>s</w:t>
      </w:r>
      <w:r w:rsidR="00573C23">
        <w:t xml:space="preserve">  que le</w:t>
      </w:r>
      <w:r w:rsidR="00207B14">
        <w:t>s</w:t>
      </w:r>
      <w:r w:rsidR="00573C23">
        <w:t xml:space="preserve"> jury</w:t>
      </w:r>
      <w:r w:rsidR="00207B14">
        <w:t>s</w:t>
      </w:r>
      <w:r w:rsidR="00573C23">
        <w:t xml:space="preserve"> de thèse d’Elisabeth Tessier ou des frères Bogdanov. Nous allons donc étudier aujourd’hui une mét</w:t>
      </w:r>
      <w:r w:rsidR="00FA3CD7">
        <w:t xml:space="preserve">hode de pêche aux alphas </w:t>
      </w:r>
      <w:r w:rsidR="00573C23">
        <w:t xml:space="preserve">plus sophistiquée, qui nous permettra cette fois de passer le barrage du comité de lecture d’une revue de bonne réputation. Vantardise ? Pas du tout : l’exemple que nous allons voir provient d’un article </w:t>
      </w:r>
      <w:r w:rsidR="00815922">
        <w:t>authentique</w:t>
      </w:r>
      <w:r w:rsidR="00DF0FC8">
        <w:rPr>
          <w:rStyle w:val="Appelnotedebasdep"/>
        </w:rPr>
        <w:footnoteReference w:id="1"/>
      </w:r>
      <w:r w:rsidR="00573C23">
        <w:t xml:space="preserve">, publié dans la revue </w:t>
      </w:r>
      <w:proofErr w:type="spellStart"/>
      <w:r w:rsidR="00573C23">
        <w:t>Environmental</w:t>
      </w:r>
      <w:proofErr w:type="spellEnd"/>
      <w:r w:rsidR="00573C23">
        <w:t xml:space="preserve"> </w:t>
      </w:r>
      <w:proofErr w:type="spellStart"/>
      <w:r w:rsidR="00573C23">
        <w:t>Health</w:t>
      </w:r>
      <w:proofErr w:type="spellEnd"/>
      <w:r w:rsidR="00573C23">
        <w:t xml:space="preserve"> Perspective (imp</w:t>
      </w:r>
      <w:r w:rsidR="00815922">
        <w:t>a</w:t>
      </w:r>
      <w:r w:rsidR="00573C23">
        <w:t xml:space="preserve">ct factor de </w:t>
      </w:r>
      <w:r w:rsidR="00815922">
        <w:t>7,977 en 2014</w:t>
      </w:r>
      <w:r w:rsidR="00573C23">
        <w:t>). Un article tellement sérieux qu’il a été cité par le magazine La Recherche en mars 2016, dans son dossier « accablant » sur les pesticides. Il a également inspiré l’</w:t>
      </w:r>
      <w:r w:rsidR="00815922">
        <w:t xml:space="preserve">enquête </w:t>
      </w:r>
      <w:proofErr w:type="spellStart"/>
      <w:r w:rsidR="00815922">
        <w:t>Exppert</w:t>
      </w:r>
      <w:proofErr w:type="spellEnd"/>
      <w:r w:rsidR="00815922">
        <w:t xml:space="preserve"> 6 de Gé</w:t>
      </w:r>
      <w:r w:rsidR="00573C23">
        <w:t>n</w:t>
      </w:r>
      <w:r w:rsidR="00815922">
        <w:t>é</w:t>
      </w:r>
      <w:r w:rsidR="00573C23">
        <w:t>rations Futures, ce qui confirme son impact dans les plus hautes sphères scientifiques</w:t>
      </w:r>
      <w:r>
        <w:t xml:space="preserve"> (non, là on plaisante…)</w:t>
      </w:r>
      <w:r w:rsidR="00573C23">
        <w:t>.</w:t>
      </w:r>
    </w:p>
    <w:p w:rsidR="008C1F4F" w:rsidRPr="005C306F" w:rsidRDefault="008C1F4F" w:rsidP="001C7427">
      <w:pPr>
        <w:jc w:val="both"/>
        <w:rPr>
          <w:b/>
          <w:sz w:val="24"/>
        </w:rPr>
      </w:pPr>
      <w:r w:rsidRPr="005C306F">
        <w:rPr>
          <w:b/>
          <w:sz w:val="24"/>
        </w:rPr>
        <w:t xml:space="preserve">Le principe </w:t>
      </w:r>
      <w:r w:rsidR="004100C6" w:rsidRPr="005C306F">
        <w:rPr>
          <w:b/>
          <w:sz w:val="24"/>
        </w:rPr>
        <w:t>de l’étude</w:t>
      </w:r>
    </w:p>
    <w:p w:rsidR="008C1F4F" w:rsidRDefault="00DC0DE8" w:rsidP="001C7427">
      <w:pPr>
        <w:jc w:val="both"/>
      </w:pPr>
      <w:r>
        <w:t xml:space="preserve">L’étude décrite dans cet article part d’une idée intéressante : utiliser les aspirateurs comme instrument de mesure des pollutions domestiques. Les chercheurs ont récupéré le contenu des sacs à poussière des aspirateurs de 682 personnes atteintes de </w:t>
      </w:r>
      <w:proofErr w:type="spellStart"/>
      <w:r>
        <w:t>lymphôme</w:t>
      </w:r>
      <w:proofErr w:type="spellEnd"/>
      <w:r>
        <w:t xml:space="preserve"> non-hodgkinien (LNH), une forme de cancer des cellules sanguines. Ils ont recherché dans </w:t>
      </w:r>
      <w:r w:rsidR="001C7427">
        <w:t xml:space="preserve">ces poussières les traces de 27 produits </w:t>
      </w:r>
      <w:r w:rsidR="00ED6134">
        <w:t>cancérogènes</w:t>
      </w:r>
      <w:r w:rsidR="00815922">
        <w:t xml:space="preserve"> </w:t>
      </w:r>
      <w:r w:rsidR="001C7427">
        <w:t>avérés ou soupçonnés</w:t>
      </w:r>
      <w:r w:rsidR="00E9628A">
        <w:t xml:space="preserve">. Ils ont </w:t>
      </w:r>
      <w:r w:rsidR="00FA3CD7">
        <w:t xml:space="preserve">ensuite </w:t>
      </w:r>
      <w:r w:rsidR="00E9628A">
        <w:t>comparé c</w:t>
      </w:r>
      <w:r w:rsidR="00815922">
        <w:t xml:space="preserve">es résultats </w:t>
      </w:r>
      <w:r w:rsidR="00E9628A">
        <w:t xml:space="preserve">avec ceux </w:t>
      </w:r>
      <w:r w:rsidR="00815922">
        <w:t>obtenus dans les appartements de personne</w:t>
      </w:r>
      <w:r w:rsidR="000F3644">
        <w:t>s</w:t>
      </w:r>
      <w:r w:rsidR="00815922">
        <w:t xml:space="preserve"> en bonne santé</w:t>
      </w:r>
      <w:r w:rsidR="00ED6134">
        <w:t>,</w:t>
      </w:r>
      <w:r w:rsidR="00815922">
        <w:t xml:space="preserve"> vivant dans les mêmes régions. Cette étude a été réalisé</w:t>
      </w:r>
      <w:r w:rsidR="00E9628A">
        <w:t>e</w:t>
      </w:r>
      <w:r w:rsidR="00815922">
        <w:t xml:space="preserve"> dans 4 sites :</w:t>
      </w:r>
      <w:r w:rsidR="00E9628A">
        <w:t xml:space="preserve"> Los Angeles, Seattle, Detroit, et l’Etat </w:t>
      </w:r>
      <w:r w:rsidR="00FA3CD7">
        <w:t xml:space="preserve">agricole </w:t>
      </w:r>
      <w:r w:rsidR="00E9628A">
        <w:t>de l’Iowa.</w:t>
      </w:r>
      <w:r w:rsidR="00815922">
        <w:t xml:space="preserve"> </w:t>
      </w:r>
      <w:r w:rsidR="00E9628A">
        <w:t>Le</w:t>
      </w:r>
      <w:r w:rsidR="00916C45">
        <w:t xml:space="preserve">s auteurs ont </w:t>
      </w:r>
      <w:r w:rsidR="00815922">
        <w:t xml:space="preserve"> </w:t>
      </w:r>
      <w:r w:rsidR="00916C45">
        <w:t xml:space="preserve">d’abord déterminé, pour chaque produit individuellement, si les cas de LNH étaient plus nombreux dans les appartements </w:t>
      </w:r>
      <w:r w:rsidR="008C1F4F">
        <w:t xml:space="preserve">les plus contaminés par ce produit. Leurs résultats sont exprimés en </w:t>
      </w:r>
      <w:proofErr w:type="spellStart"/>
      <w:r w:rsidR="008C1F4F">
        <w:t>Odds</w:t>
      </w:r>
      <w:proofErr w:type="spellEnd"/>
      <w:r w:rsidR="008C1F4F">
        <w:t xml:space="preserve"> Ratio (OR) : un OR de 1,30 signifie que l</w:t>
      </w:r>
      <w:r w:rsidR="00A55561">
        <w:t>es personnes atteintes de LNH sont plus nombreuses de 30% dans</w:t>
      </w:r>
      <w:r w:rsidR="008C1F4F">
        <w:t xml:space="preserve"> les appartements les plus contaminés par le produit considéré</w:t>
      </w:r>
      <w:r w:rsidR="00A55561">
        <w:t>, par rapport à celles habitant dans les appartements les moins contaminés par ce produit</w:t>
      </w:r>
      <w:r w:rsidR="008C1F4F">
        <w:t> ; à l’inverse, un OR de 0,70 signifie que l’on a un déficit de 30% de LNH.</w:t>
      </w:r>
    </w:p>
    <w:p w:rsidR="0097511B" w:rsidRDefault="0097511B" w:rsidP="001C7427">
      <w:pPr>
        <w:jc w:val="both"/>
      </w:pPr>
      <w:r>
        <w:t>Av</w:t>
      </w:r>
      <w:r w:rsidR="009B2371">
        <w:t>ant de passer aux résultats, no</w:t>
      </w:r>
      <w:r>
        <w:t>tons une particularité intrigante de cet article : il date de 2015, alors que l’étude de terrain date de 1999/200</w:t>
      </w:r>
      <w:r w:rsidR="004100C6">
        <w:t>1</w:t>
      </w:r>
      <w:r>
        <w:t xml:space="preserve">. Pourquoi </w:t>
      </w:r>
      <w:r w:rsidR="002A7B7C">
        <w:t xml:space="preserve">un tel délai ? Nous verrons l’explication </w:t>
      </w:r>
      <w:r>
        <w:t>dans la suite…</w:t>
      </w:r>
    </w:p>
    <w:p w:rsidR="004A32E2" w:rsidRDefault="004A32E2" w:rsidP="001C7427">
      <w:pPr>
        <w:jc w:val="both"/>
      </w:pPr>
    </w:p>
    <w:p w:rsidR="004A32E2" w:rsidRDefault="004A32E2" w:rsidP="001C7427">
      <w:pPr>
        <w:jc w:val="both"/>
      </w:pPr>
    </w:p>
    <w:p w:rsidR="0097511B" w:rsidRPr="000F3644" w:rsidRDefault="0097511B" w:rsidP="001C7427">
      <w:pPr>
        <w:jc w:val="both"/>
        <w:rPr>
          <w:b/>
          <w:sz w:val="24"/>
        </w:rPr>
      </w:pPr>
      <w:r w:rsidRPr="000F3644">
        <w:rPr>
          <w:b/>
          <w:sz w:val="24"/>
        </w:rPr>
        <w:t>Les résultats</w:t>
      </w:r>
      <w:r w:rsidR="003B7458" w:rsidRPr="000F3644">
        <w:rPr>
          <w:b/>
          <w:sz w:val="24"/>
        </w:rPr>
        <w:t>, première lecture</w:t>
      </w:r>
      <w:r w:rsidRPr="000F3644">
        <w:rPr>
          <w:b/>
          <w:sz w:val="24"/>
        </w:rPr>
        <w:t> :</w:t>
      </w:r>
      <w:r w:rsidR="003B7458" w:rsidRPr="000F3644">
        <w:rPr>
          <w:b/>
          <w:sz w:val="24"/>
        </w:rPr>
        <w:t xml:space="preserve"> un cas typique de pêche aux alphas</w:t>
      </w:r>
    </w:p>
    <w:p w:rsidR="0097511B" w:rsidRDefault="00327227" w:rsidP="001C7427">
      <w:pPr>
        <w:jc w:val="both"/>
      </w:pPr>
      <w:r>
        <w:t>Les auteurs ont</w:t>
      </w:r>
      <w:r w:rsidR="0097511B">
        <w:t xml:space="preserve"> étudié 27 produits chimiques dans 4 sites différents, ce qui nous fai</w:t>
      </w:r>
      <w:r w:rsidR="00A55561">
        <w:t>t</w:t>
      </w:r>
      <w:r w:rsidR="00B51633">
        <w:t xml:space="preserve"> au total 108 couples (produit x</w:t>
      </w:r>
      <w:r w:rsidR="000F3644">
        <w:t xml:space="preserve"> site). Cela nous fait </w:t>
      </w:r>
      <w:r w:rsidR="0097511B">
        <w:t xml:space="preserve">un vivier assez grand pour que nous ayons de bonnes chances d’y pêcher quelques alphas bien frais : </w:t>
      </w:r>
      <w:r w:rsidR="0097511B" w:rsidRPr="00DC0E08">
        <w:rPr>
          <w:b/>
        </w:rPr>
        <w:t xml:space="preserve">même si l’ensemble des produits étaient parfaitement inoffensifs, nous devrions normalement </w:t>
      </w:r>
      <w:r w:rsidR="003B7458" w:rsidRPr="00DC0E08">
        <w:rPr>
          <w:b/>
        </w:rPr>
        <w:t xml:space="preserve">en trouver </w:t>
      </w:r>
      <w:r w:rsidR="0097511B" w:rsidRPr="00DC0E08">
        <w:rPr>
          <w:b/>
        </w:rPr>
        <w:t>4 avec des OR significativement différents de 1</w:t>
      </w:r>
      <w:r w:rsidR="004100C6">
        <w:t>,</w:t>
      </w:r>
      <w:r w:rsidR="0097511B">
        <w:t xml:space="preserve"> pour le risque</w:t>
      </w:r>
      <w:r w:rsidR="004100C6">
        <w:t xml:space="preserve"> de 1ère espèce</w:t>
      </w:r>
      <w:r w:rsidR="0097511B">
        <w:t xml:space="preserve"> </w:t>
      </w:r>
      <w:r w:rsidR="0097511B" w:rsidRPr="00A82896">
        <w:rPr>
          <w:rFonts w:ascii="Symbol" w:hAnsi="Symbol"/>
        </w:rPr>
        <w:t></w:t>
      </w:r>
      <w:r w:rsidR="00A82896">
        <w:t xml:space="preserve"> = 5%</w:t>
      </w:r>
      <w:r w:rsidR="004100C6">
        <w:t>. Dans ce cas, on devrait également trouver une distribution symétrique des résultats, avec autant d’OR supérieurs à 1 que d’OR inférieurs à 1 (y compris parmi les résultats « significatifs »).</w:t>
      </w:r>
      <w:r w:rsidR="0097511B">
        <w:t xml:space="preserve"> </w:t>
      </w:r>
      <w:r w:rsidR="004100C6">
        <w:t>S’il y a réellement des produits ayant</w:t>
      </w:r>
      <w:r w:rsidR="00B6521E">
        <w:t xml:space="preserve"> eu un effet </w:t>
      </w:r>
      <w:proofErr w:type="spellStart"/>
      <w:r w:rsidR="00703B4C">
        <w:t>cancerignène</w:t>
      </w:r>
      <w:proofErr w:type="spellEnd"/>
      <w:r w:rsidR="00B6521E">
        <w:t xml:space="preserve"> dans nos sacs à poussière, on devrait trouver un excès de résultats significatifs, mais seulement pour les OR &gt;1. Et, de façon générale, on devrait également trouver plus d’OR&gt;1 que d’OR &lt;1. Qu’en est-il dans les résultats de nos auteurs ?</w:t>
      </w:r>
    </w:p>
    <w:p w:rsidR="00B538D8" w:rsidRDefault="00A66CBD" w:rsidP="001C7427">
      <w:pPr>
        <w:jc w:val="both"/>
      </w:pPr>
      <w:r>
        <w:t>Une petite surprise no</w:t>
      </w:r>
      <w:r w:rsidR="00B538D8">
        <w:t>us</w:t>
      </w:r>
      <w:r>
        <w:t xml:space="preserve"> attend quand nous recherchons ces OR par pr</w:t>
      </w:r>
      <w:r w:rsidR="00B538D8">
        <w:t>oduit et par site. Bien qu’il s’agisse du résultat fondamental d</w:t>
      </w:r>
      <w:r>
        <w:t>e l’étude</w:t>
      </w:r>
      <w:r w:rsidR="00B538D8">
        <w:t>,</w:t>
      </w:r>
      <w:r>
        <w:t xml:space="preserve"> ils ne figurent</w:t>
      </w:r>
      <w:r w:rsidR="000F3644">
        <w:t xml:space="preserve"> pas dans le corps de l’article :</w:t>
      </w:r>
      <w:r>
        <w:t xml:space="preserve"> il </w:t>
      </w:r>
      <w:r w:rsidR="00B237A8">
        <w:t>faut aller les chercher dans le « </w:t>
      </w:r>
      <w:proofErr w:type="spellStart"/>
      <w:r w:rsidR="00B237A8">
        <w:t>Supplemental</w:t>
      </w:r>
      <w:proofErr w:type="spellEnd"/>
      <w:r w:rsidR="00B237A8">
        <w:t xml:space="preserve"> </w:t>
      </w:r>
      <w:proofErr w:type="spellStart"/>
      <w:r w:rsidR="00B237A8">
        <w:t>Material</w:t>
      </w:r>
      <w:proofErr w:type="spellEnd"/>
      <w:r>
        <w:t> »</w:t>
      </w:r>
      <w:r w:rsidR="00B538D8">
        <w:t xml:space="preserve">. </w:t>
      </w:r>
      <w:r w:rsidR="00B538D8" w:rsidRPr="000F3644">
        <w:rPr>
          <w:b/>
        </w:rPr>
        <w:t>Les a</w:t>
      </w:r>
      <w:r w:rsidRPr="000F3644">
        <w:rPr>
          <w:b/>
        </w:rPr>
        <w:t xml:space="preserve">uteurs ont ici appliqué la </w:t>
      </w:r>
      <w:r w:rsidR="00B538D8" w:rsidRPr="000F3644">
        <w:rPr>
          <w:b/>
        </w:rPr>
        <w:t>règle</w:t>
      </w:r>
      <w:r w:rsidRPr="000F3644">
        <w:rPr>
          <w:b/>
        </w:rPr>
        <w:t xml:space="preserve"> d’</w:t>
      </w:r>
      <w:r w:rsidR="00B538D8" w:rsidRPr="000F3644">
        <w:rPr>
          <w:b/>
        </w:rPr>
        <w:t xml:space="preserve">or du </w:t>
      </w:r>
      <w:r w:rsidR="009B2371" w:rsidRPr="000F3644">
        <w:rPr>
          <w:b/>
        </w:rPr>
        <w:t xml:space="preserve">dur </w:t>
      </w:r>
      <w:r w:rsidR="00B538D8" w:rsidRPr="000F3644">
        <w:rPr>
          <w:b/>
        </w:rPr>
        <w:t>métier</w:t>
      </w:r>
      <w:r w:rsidRPr="000F3644">
        <w:rPr>
          <w:b/>
        </w:rPr>
        <w:t> </w:t>
      </w:r>
      <w:r w:rsidR="009B2371" w:rsidRPr="000F3644">
        <w:rPr>
          <w:b/>
        </w:rPr>
        <w:t xml:space="preserve">de pêcheur d’alphas </w:t>
      </w:r>
      <w:r w:rsidRPr="000F3644">
        <w:rPr>
          <w:b/>
        </w:rPr>
        <w:t>: mettre dans les annexes</w:t>
      </w:r>
      <w:r w:rsidR="002A7B7C" w:rsidRPr="000F3644">
        <w:rPr>
          <w:b/>
        </w:rPr>
        <w:t>,</w:t>
      </w:r>
      <w:r w:rsidRPr="000F3644">
        <w:rPr>
          <w:b/>
        </w:rPr>
        <w:t xml:space="preserve"> </w:t>
      </w:r>
      <w:r w:rsidR="00B15596" w:rsidRPr="000F3644">
        <w:rPr>
          <w:b/>
        </w:rPr>
        <w:t>et en vrac</w:t>
      </w:r>
      <w:r w:rsidR="002A7B7C" w:rsidRPr="000F3644">
        <w:rPr>
          <w:b/>
        </w:rPr>
        <w:t>,</w:t>
      </w:r>
      <w:r w:rsidR="00B15596" w:rsidRPr="000F3644">
        <w:rPr>
          <w:b/>
        </w:rPr>
        <w:t xml:space="preserve"> </w:t>
      </w:r>
      <w:r w:rsidRPr="000F3644">
        <w:rPr>
          <w:b/>
        </w:rPr>
        <w:t xml:space="preserve">tous les résultats embarrassants, qui pourraient détourner l’attention </w:t>
      </w:r>
      <w:r w:rsidR="00B538D8" w:rsidRPr="000F3644">
        <w:rPr>
          <w:b/>
        </w:rPr>
        <w:t xml:space="preserve">du lecteur des alphas </w:t>
      </w:r>
      <w:r w:rsidR="00901AC3" w:rsidRPr="000F3644">
        <w:rPr>
          <w:b/>
        </w:rPr>
        <w:t>bien frétillants</w:t>
      </w:r>
      <w:r w:rsidR="00B538D8" w:rsidRPr="000F3644">
        <w:rPr>
          <w:b/>
        </w:rPr>
        <w:t xml:space="preserve"> mis en avant dans l’article lui-même.</w:t>
      </w:r>
      <w:r w:rsidR="00B538D8">
        <w:t xml:space="preserve"> Ils obligent ainsi les </w:t>
      </w:r>
      <w:proofErr w:type="spellStart"/>
      <w:r w:rsidR="00B538D8">
        <w:t>reviewers</w:t>
      </w:r>
      <w:proofErr w:type="spellEnd"/>
      <w:r w:rsidR="00B538D8">
        <w:t xml:space="preserve"> </w:t>
      </w:r>
      <w:r w:rsidR="008D0AB0">
        <w:t>(s’ils en ont le courage…</w:t>
      </w:r>
      <w:r w:rsidR="00A55561">
        <w:t xml:space="preserve">) </w:t>
      </w:r>
      <w:r w:rsidR="00B538D8">
        <w:t xml:space="preserve">à regrouper les tableaux S1 et S2, et à sortir leurs </w:t>
      </w:r>
      <w:proofErr w:type="spellStart"/>
      <w:r w:rsidR="00B538D8">
        <w:t>stabilos</w:t>
      </w:r>
      <w:proofErr w:type="spellEnd"/>
      <w:r w:rsidR="00B538D8">
        <w:t xml:space="preserve"> pour </w:t>
      </w:r>
      <w:r w:rsidR="002A7B7C">
        <w:t>s’y retrouver un peu</w:t>
      </w:r>
      <w:r w:rsidR="00B538D8">
        <w:t>. Après cet effort</w:t>
      </w:r>
      <w:r w:rsidR="009D783F">
        <w:t xml:space="preserve"> de rangement</w:t>
      </w:r>
      <w:r w:rsidR="00B538D8">
        <w:t>, nous obtenons le tableau suivant :</w:t>
      </w:r>
    </w:p>
    <w:p w:rsidR="00B538D8" w:rsidRDefault="00D455BB" w:rsidP="001C7427">
      <w:pPr>
        <w:jc w:val="both"/>
      </w:pPr>
      <w:r w:rsidRPr="00D455BB">
        <w:rPr>
          <w:noProof/>
          <w:lang w:eastAsia="fr-FR"/>
        </w:rPr>
        <w:drawing>
          <wp:inline distT="0" distB="0" distL="0" distR="0" wp14:anchorId="43CBDADF" wp14:editId="7E986EE8">
            <wp:extent cx="5760720" cy="41570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57021"/>
                    </a:xfrm>
                    <a:prstGeom prst="rect">
                      <a:avLst/>
                    </a:prstGeom>
                    <a:noFill/>
                    <a:ln>
                      <a:noFill/>
                    </a:ln>
                  </pic:spPr>
                </pic:pic>
              </a:graphicData>
            </a:graphic>
          </wp:inline>
        </w:drawing>
      </w:r>
    </w:p>
    <w:p w:rsidR="00901AC3" w:rsidRDefault="00901AC3" w:rsidP="001C7427">
      <w:pPr>
        <w:jc w:val="both"/>
      </w:pPr>
      <w:r>
        <w:lastRenderedPageBreak/>
        <w:t>Les OR</w:t>
      </w:r>
      <w:r w:rsidR="00D455BB">
        <w:t xml:space="preserve"> supérieurs à 1 ont été surlign</w:t>
      </w:r>
      <w:r>
        <w:t xml:space="preserve">és en rouge, les OR inférieurs à 1 en vert, </w:t>
      </w:r>
      <w:r w:rsidRPr="000F3644">
        <w:rPr>
          <w:b/>
        </w:rPr>
        <w:t>ce qui nous per</w:t>
      </w:r>
      <w:r w:rsidR="009B2371" w:rsidRPr="000F3644">
        <w:rPr>
          <w:b/>
        </w:rPr>
        <w:t>met de voir tout de suite d</w:t>
      </w:r>
      <w:r w:rsidRPr="000F3644">
        <w:rPr>
          <w:b/>
        </w:rPr>
        <w:t>es différences de comportement frappantes selon les produits</w:t>
      </w:r>
      <w:r>
        <w:t> :</w:t>
      </w:r>
    </w:p>
    <w:p w:rsidR="00901AC3" w:rsidRDefault="00901AC3" w:rsidP="00901AC3">
      <w:pPr>
        <w:pStyle w:val="Paragraphedeliste"/>
        <w:numPr>
          <w:ilvl w:val="0"/>
          <w:numId w:val="1"/>
        </w:numPr>
        <w:jc w:val="both"/>
      </w:pPr>
      <w:r>
        <w:t xml:space="preserve">Les 5 premiers produits sont des </w:t>
      </w:r>
      <w:proofErr w:type="spellStart"/>
      <w:r>
        <w:t>polychlorobiphenyles</w:t>
      </w:r>
      <w:proofErr w:type="spellEnd"/>
      <w:r>
        <w:t xml:space="preserve"> (PCB), des produits </w:t>
      </w:r>
      <w:r w:rsidR="00B51633">
        <w:t xml:space="preserve">(non pesticides) </w:t>
      </w:r>
      <w:r>
        <w:t xml:space="preserve">dont le caractère </w:t>
      </w:r>
      <w:proofErr w:type="spellStart"/>
      <w:r>
        <w:t>cancerogène</w:t>
      </w:r>
      <w:proofErr w:type="spellEnd"/>
      <w:r>
        <w:t xml:space="preserve"> est établi de longue date, et qui sont d’ailleurs interdits depuis longtemps (1987 en France). Ces produits ont tous des OR </w:t>
      </w:r>
      <w:r w:rsidR="00B15596">
        <w:t>supérieurs à 1 dans chaque</w:t>
      </w:r>
      <w:r>
        <w:t xml:space="preserve"> site</w:t>
      </w:r>
      <w:r w:rsidR="00B15596">
        <w:t>, l’un d’eux, le PCB 180,  obtient même un résultat hautement significatif</w:t>
      </w:r>
      <w:r w:rsidR="009B2371">
        <w:t>,</w:t>
      </w:r>
      <w:r w:rsidR="00B15596">
        <w:t xml:space="preserve"> quand on fait la moyenne de tous les résultats.</w:t>
      </w:r>
    </w:p>
    <w:p w:rsidR="00B15596" w:rsidRDefault="00B15596" w:rsidP="00215458">
      <w:pPr>
        <w:pStyle w:val="Paragraphedeliste"/>
        <w:numPr>
          <w:ilvl w:val="0"/>
          <w:numId w:val="1"/>
        </w:numPr>
        <w:jc w:val="both"/>
      </w:pPr>
      <w:r w:rsidRPr="000F3644">
        <w:rPr>
          <w:b/>
        </w:rPr>
        <w:t>Pour les 22 autres produits, les résultats ne montrent aucune cohérence</w:t>
      </w:r>
      <w:r>
        <w:t>.</w:t>
      </w:r>
      <w:r w:rsidR="004F2C70">
        <w:t xml:space="preserve"> </w:t>
      </w:r>
      <w:r w:rsidR="00ED6134">
        <w:t xml:space="preserve">Nos fidèles lecteurs reconnaitront ces chiffres (s’ils ont une très bonne mémoire) : ce sont ceux que nous avions utilisés dans notre jeu-test </w:t>
      </w:r>
      <w:hyperlink r:id="rId10" w:history="1">
        <w:r w:rsidR="00ED6134" w:rsidRPr="00215458">
          <w:rPr>
            <w:rStyle w:val="Lienhypertexte"/>
          </w:rPr>
          <w:t>« </w:t>
        </w:r>
        <w:r w:rsidR="00215458" w:rsidRPr="00215458">
          <w:rPr>
            <w:rStyle w:val="Lienhypertexte"/>
          </w:rPr>
          <w:t>Statisticien, épidémiologiste, astrologue : quel scientifique êtes-vous ?</w:t>
        </w:r>
        <w:r w:rsidR="00ED6134" w:rsidRPr="00215458">
          <w:rPr>
            <w:rStyle w:val="Lienhypertexte"/>
          </w:rPr>
          <w:t> »</w:t>
        </w:r>
      </w:hyperlink>
      <w:r w:rsidR="00ED6134">
        <w:t xml:space="preserve">. </w:t>
      </w:r>
      <w:r w:rsidR="004F2C70">
        <w:t>Si on fait le décompte des 88 résultats obtenus</w:t>
      </w:r>
      <w:r w:rsidR="00390DCC">
        <w:t xml:space="preserve"> pour ces 22 produits dans les 4 sites</w:t>
      </w:r>
      <w:r w:rsidR="00F0361B">
        <w:t>, on trouve une parité</w:t>
      </w:r>
      <w:r w:rsidR="004F2C70">
        <w:t xml:space="preserve"> parfaite entre les OR supérieurs et inférieurs à 1</w:t>
      </w:r>
      <w:r w:rsidR="001859B9">
        <w:t> :</w:t>
      </w:r>
    </w:p>
    <w:p w:rsidR="001859B9" w:rsidRDefault="00F0361B" w:rsidP="001859B9">
      <w:pPr>
        <w:jc w:val="both"/>
      </w:pPr>
      <w:r w:rsidRPr="00F0361B">
        <w:rPr>
          <w:noProof/>
          <w:lang w:eastAsia="fr-FR"/>
        </w:rPr>
        <w:drawing>
          <wp:inline distT="0" distB="0" distL="0" distR="0" wp14:anchorId="2FEA2D14" wp14:editId="45D01721">
            <wp:extent cx="5760720" cy="134763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47638"/>
                    </a:xfrm>
                    <a:prstGeom prst="rect">
                      <a:avLst/>
                    </a:prstGeom>
                    <a:noFill/>
                    <a:ln>
                      <a:noFill/>
                    </a:ln>
                  </pic:spPr>
                </pic:pic>
              </a:graphicData>
            </a:graphic>
          </wp:inline>
        </w:drawing>
      </w:r>
    </w:p>
    <w:p w:rsidR="001859B9" w:rsidRDefault="00F0361B" w:rsidP="001859B9">
      <w:pPr>
        <w:jc w:val="both"/>
      </w:pPr>
      <w:r>
        <w:t>La distributi</w:t>
      </w:r>
      <w:r w:rsidR="00B237A8">
        <w:t xml:space="preserve">on des résultats significatifs présente </w:t>
      </w:r>
      <w:r>
        <w:t>une légère anomalie, avec un excès de résultats significatifs à 5%, mais une proportion quasi normale de résultats significatifs à 10 ou 1%. De plus, ce léger excès de résultats significatifs est symétrique (il y a autant de résultats signifi</w:t>
      </w:r>
      <w:r w:rsidR="008D0AB0">
        <w:t>catifs parmi les OR&gt;1 que parmi</w:t>
      </w:r>
      <w:r>
        <w:t xml:space="preserve"> les OR &lt;1), ce qui ne serait pas le cas s’il y avait un ou plusieurs produits cancérogènes cachés parmi les produits inoffensifs.</w:t>
      </w:r>
    </w:p>
    <w:p w:rsidR="00F0361B" w:rsidRDefault="007A6C35" w:rsidP="007A6C35">
      <w:pPr>
        <w:jc w:val="both"/>
        <w:rPr>
          <w:rFonts w:ascii="Calibri" w:eastAsia="Times New Roman" w:hAnsi="Calibri" w:cs="Times New Roman"/>
          <w:color w:val="000000"/>
          <w:lang w:eastAsia="fr-FR"/>
        </w:rPr>
      </w:pPr>
      <w:r>
        <w:t xml:space="preserve">Si on reprend la grille d’interprétation de notre jeu-test, </w:t>
      </w:r>
      <w:r w:rsidRPr="00AF1BBB">
        <w:rPr>
          <w:b/>
        </w:rPr>
        <w:t xml:space="preserve">tout statisticien aurait donc conclu que les analyses montrent un lien très probable entre contamination aux PCB et LNH (en particulier </w:t>
      </w:r>
      <w:r w:rsidR="00D177E2" w:rsidRPr="00AF1BBB">
        <w:rPr>
          <w:b/>
        </w:rPr>
        <w:t xml:space="preserve">pour </w:t>
      </w:r>
      <w:r w:rsidRPr="00AF1BBB">
        <w:rPr>
          <w:b/>
        </w:rPr>
        <w:t xml:space="preserve">le PCB 180), mais qu’il n’y a aucun indice d’un effet </w:t>
      </w:r>
      <w:r w:rsidR="00B237A8" w:rsidRPr="00AF1BBB">
        <w:rPr>
          <w:b/>
        </w:rPr>
        <w:t>cancérogène</w:t>
      </w:r>
      <w:r w:rsidR="00390DCC" w:rsidRPr="00AF1BBB">
        <w:rPr>
          <w:b/>
        </w:rPr>
        <w:t xml:space="preserve"> </w:t>
      </w:r>
      <w:r w:rsidR="00FA3CD7" w:rsidRPr="00AF1BBB">
        <w:rPr>
          <w:b/>
        </w:rPr>
        <w:t>pour les</w:t>
      </w:r>
      <w:r w:rsidRPr="00AF1BBB">
        <w:rPr>
          <w:b/>
        </w:rPr>
        <w:t xml:space="preserve"> 22 autres molécules</w:t>
      </w:r>
      <w:r>
        <w:t xml:space="preserve">. Des épidémiologistes </w:t>
      </w:r>
      <w:r w:rsidR="00F0361B">
        <w:t xml:space="preserve">feraient sans doute de même s’il s’agissait d’astrologie. Mais comme on parle </w:t>
      </w:r>
      <w:r w:rsidR="00215458">
        <w:t xml:space="preserve">ici </w:t>
      </w:r>
      <w:r w:rsidR="00F0361B">
        <w:t xml:space="preserve">de produits hautement suspects, ils </w:t>
      </w:r>
      <w:r>
        <w:t xml:space="preserve">ouvriraient sans doute le parapluie en </w:t>
      </w:r>
      <w:r w:rsidR="00F0361B">
        <w:t>notant</w:t>
      </w:r>
      <w:r>
        <w:t xml:space="preserve"> que 3 </w:t>
      </w:r>
      <w:proofErr w:type="spellStart"/>
      <w:r>
        <w:t>organo-chlorés</w:t>
      </w:r>
      <w:proofErr w:type="spellEnd"/>
      <w:r>
        <w:t xml:space="preserve">  (</w:t>
      </w:r>
      <w:r w:rsidRPr="007A6C35">
        <w:rPr>
          <w:rFonts w:ascii="Calibri" w:eastAsia="Times New Roman" w:hAnsi="Calibri" w:cs="Times New Roman"/>
          <w:color w:val="000000"/>
          <w:lang w:eastAsia="fr-FR"/>
        </w:rPr>
        <w:t>α-chlordane</w:t>
      </w:r>
      <w:r>
        <w:rPr>
          <w:rFonts w:ascii="Calibri" w:eastAsia="Times New Roman" w:hAnsi="Calibri" w:cs="Times New Roman"/>
          <w:color w:val="000000"/>
          <w:lang w:eastAsia="fr-FR"/>
        </w:rPr>
        <w:t xml:space="preserve">, </w:t>
      </w:r>
      <w:r w:rsidRPr="007A6C35">
        <w:rPr>
          <w:rFonts w:ascii="Calibri" w:eastAsia="Times New Roman" w:hAnsi="Calibri" w:cs="Times New Roman"/>
          <w:color w:val="000000"/>
          <w:lang w:eastAsia="fr-FR"/>
        </w:rPr>
        <w:t>γ-chlordane</w:t>
      </w:r>
      <w:r>
        <w:rPr>
          <w:rFonts w:ascii="Calibri" w:eastAsia="Times New Roman" w:hAnsi="Calibri" w:cs="Times New Roman"/>
          <w:color w:val="000000"/>
          <w:lang w:eastAsia="fr-FR"/>
        </w:rPr>
        <w:t xml:space="preserve"> et DDE) ont en moyenne des OR non significatifs, mais </w:t>
      </w:r>
      <w:r w:rsidR="00795B92">
        <w:rPr>
          <w:rFonts w:ascii="Calibri" w:eastAsia="Times New Roman" w:hAnsi="Calibri" w:cs="Times New Roman"/>
          <w:color w:val="000000"/>
          <w:lang w:eastAsia="fr-FR"/>
        </w:rPr>
        <w:t xml:space="preserve">relativement </w:t>
      </w:r>
      <w:r>
        <w:rPr>
          <w:rFonts w:ascii="Calibri" w:eastAsia="Times New Roman" w:hAnsi="Calibri" w:cs="Times New Roman"/>
          <w:color w:val="000000"/>
          <w:lang w:eastAsia="fr-FR"/>
        </w:rPr>
        <w:t xml:space="preserve">élevés, et mériteraient donc des études complémentaires. </w:t>
      </w:r>
      <w:r w:rsidRPr="00AF1BBB">
        <w:rPr>
          <w:rFonts w:ascii="Calibri" w:eastAsia="Times New Roman" w:hAnsi="Calibri" w:cs="Times New Roman"/>
          <w:b/>
          <w:color w:val="000000"/>
          <w:lang w:eastAsia="fr-FR"/>
        </w:rPr>
        <w:t>C’est d’ailleurs la conclusion à laquelle arrivait la première publication sur ces analyses de poussière, en 2005</w:t>
      </w:r>
      <w:r w:rsidRPr="00AF1BBB">
        <w:rPr>
          <w:rStyle w:val="Appelnotedebasdep"/>
          <w:rFonts w:ascii="Calibri" w:eastAsia="Times New Roman" w:hAnsi="Calibri" w:cs="Times New Roman"/>
          <w:b/>
          <w:color w:val="000000"/>
          <w:lang w:eastAsia="fr-FR"/>
        </w:rPr>
        <w:footnoteReference w:id="2"/>
      </w:r>
      <w:r w:rsidRPr="00AF1BBB">
        <w:rPr>
          <w:rFonts w:ascii="Calibri" w:eastAsia="Times New Roman" w:hAnsi="Calibri" w:cs="Times New Roman"/>
          <w:b/>
          <w:color w:val="000000"/>
          <w:lang w:eastAsia="fr-FR"/>
        </w:rPr>
        <w:t>.</w:t>
      </w:r>
      <w:r>
        <w:rPr>
          <w:rFonts w:ascii="Calibri" w:eastAsia="Times New Roman" w:hAnsi="Calibri" w:cs="Times New Roman"/>
          <w:color w:val="000000"/>
          <w:lang w:eastAsia="fr-FR"/>
        </w:rPr>
        <w:t xml:space="preserve"> </w:t>
      </w:r>
    </w:p>
    <w:p w:rsidR="00F0361B" w:rsidRDefault="00215458" w:rsidP="007A6C35">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Notons qu’il y a tout de même une différence importante entre les résultats ci-dessus, selon qu’ils s’appliquent au signe astrologique des personnes enquêtées, ou aux produits chimiques </w:t>
      </w:r>
      <w:r w:rsidR="0073161C">
        <w:rPr>
          <w:rFonts w:ascii="Calibri" w:eastAsia="Times New Roman" w:hAnsi="Calibri" w:cs="Times New Roman"/>
          <w:color w:val="000000"/>
          <w:lang w:eastAsia="fr-FR"/>
        </w:rPr>
        <w:t xml:space="preserve">trouvés dans leur appartement : chaque personne n’a qu’un signe astrologique, les résultats obtenus par chaque signe astrologique sont </w:t>
      </w:r>
      <w:r w:rsidR="008D0AB0">
        <w:rPr>
          <w:rFonts w:ascii="Calibri" w:eastAsia="Times New Roman" w:hAnsi="Calibri" w:cs="Times New Roman"/>
          <w:color w:val="000000"/>
          <w:lang w:eastAsia="fr-FR"/>
        </w:rPr>
        <w:t xml:space="preserve">donc </w:t>
      </w:r>
      <w:r w:rsidR="0073161C">
        <w:rPr>
          <w:rFonts w:ascii="Calibri" w:eastAsia="Times New Roman" w:hAnsi="Calibri" w:cs="Times New Roman"/>
          <w:color w:val="000000"/>
          <w:lang w:eastAsia="fr-FR"/>
        </w:rPr>
        <w:t xml:space="preserve">indépendants entre eux. Ce n’est pas le cas pour les produits chimiques, car certains peuvent être </w:t>
      </w:r>
      <w:proofErr w:type="spellStart"/>
      <w:r w:rsidR="0073161C">
        <w:rPr>
          <w:rFonts w:ascii="Calibri" w:eastAsia="Times New Roman" w:hAnsi="Calibri" w:cs="Times New Roman"/>
          <w:color w:val="000000"/>
          <w:lang w:eastAsia="fr-FR"/>
        </w:rPr>
        <w:t>correllés</w:t>
      </w:r>
      <w:proofErr w:type="spellEnd"/>
      <w:r w:rsidR="0073161C">
        <w:rPr>
          <w:rFonts w:ascii="Calibri" w:eastAsia="Times New Roman" w:hAnsi="Calibri" w:cs="Times New Roman"/>
          <w:color w:val="000000"/>
          <w:lang w:eastAsia="fr-FR"/>
        </w:rPr>
        <w:t xml:space="preserve"> entre eux : si certains produits, dont un seul est cancérigène, sont fréquemment associés, on va trouver une lia</w:t>
      </w:r>
      <w:r w:rsidR="00703B4C">
        <w:rPr>
          <w:rFonts w:ascii="Calibri" w:eastAsia="Times New Roman" w:hAnsi="Calibri" w:cs="Times New Roman"/>
          <w:color w:val="000000"/>
          <w:lang w:eastAsia="fr-FR"/>
        </w:rPr>
        <w:t xml:space="preserve">ison positive  avec le LNH </w:t>
      </w:r>
      <w:r w:rsidR="0073161C">
        <w:rPr>
          <w:rFonts w:ascii="Calibri" w:eastAsia="Times New Roman" w:hAnsi="Calibri" w:cs="Times New Roman"/>
          <w:color w:val="000000"/>
          <w:lang w:eastAsia="fr-FR"/>
        </w:rPr>
        <w:t xml:space="preserve">pour les produits </w:t>
      </w:r>
      <w:r w:rsidR="00D177E2">
        <w:rPr>
          <w:rFonts w:ascii="Calibri" w:eastAsia="Times New Roman" w:hAnsi="Calibri" w:cs="Times New Roman"/>
          <w:color w:val="000000"/>
          <w:lang w:eastAsia="fr-FR"/>
        </w:rPr>
        <w:t xml:space="preserve">qui lui sont </w:t>
      </w:r>
      <w:r w:rsidR="00D177E2">
        <w:rPr>
          <w:rFonts w:ascii="Calibri" w:eastAsia="Times New Roman" w:hAnsi="Calibri" w:cs="Times New Roman"/>
          <w:color w:val="000000"/>
          <w:lang w:eastAsia="fr-FR"/>
        </w:rPr>
        <w:lastRenderedPageBreak/>
        <w:t>associés</w:t>
      </w:r>
      <w:r w:rsidR="00703B4C">
        <w:rPr>
          <w:rFonts w:ascii="Calibri" w:eastAsia="Times New Roman" w:hAnsi="Calibri" w:cs="Times New Roman"/>
          <w:color w:val="000000"/>
          <w:lang w:eastAsia="fr-FR"/>
        </w:rPr>
        <w:t>, même s’ils sont inoffensifs</w:t>
      </w:r>
      <w:r w:rsidR="00D177E2">
        <w:rPr>
          <w:rFonts w:ascii="Calibri" w:eastAsia="Times New Roman" w:hAnsi="Calibri" w:cs="Times New Roman"/>
          <w:color w:val="000000"/>
          <w:lang w:eastAsia="fr-FR"/>
        </w:rPr>
        <w:t>. On peut se poser cette</w:t>
      </w:r>
      <w:r w:rsidR="0073161C">
        <w:rPr>
          <w:rFonts w:ascii="Calibri" w:eastAsia="Times New Roman" w:hAnsi="Calibri" w:cs="Times New Roman"/>
          <w:color w:val="000000"/>
          <w:lang w:eastAsia="fr-FR"/>
        </w:rPr>
        <w:t xml:space="preserve"> question pour les PCB, qui sont de</w:t>
      </w:r>
      <w:r w:rsidR="00BF3404">
        <w:rPr>
          <w:rFonts w:ascii="Calibri" w:eastAsia="Times New Roman" w:hAnsi="Calibri" w:cs="Times New Roman"/>
          <w:color w:val="000000"/>
          <w:lang w:eastAsia="fr-FR"/>
        </w:rPr>
        <w:t>s</w:t>
      </w:r>
      <w:r w:rsidR="0073161C">
        <w:rPr>
          <w:rFonts w:ascii="Calibri" w:eastAsia="Times New Roman" w:hAnsi="Calibri" w:cs="Times New Roman"/>
          <w:color w:val="000000"/>
          <w:lang w:eastAsia="fr-FR"/>
        </w:rPr>
        <w:t xml:space="preserve"> produits chimiquement proches</w:t>
      </w:r>
      <w:r w:rsidR="00D177E2">
        <w:rPr>
          <w:rFonts w:ascii="Calibri" w:eastAsia="Times New Roman" w:hAnsi="Calibri" w:cs="Times New Roman"/>
          <w:color w:val="000000"/>
          <w:lang w:eastAsia="fr-FR"/>
        </w:rPr>
        <w:t xml:space="preserve"> entre eux</w:t>
      </w:r>
      <w:r w:rsidR="0073161C">
        <w:rPr>
          <w:rFonts w:ascii="Calibri" w:eastAsia="Times New Roman" w:hAnsi="Calibri" w:cs="Times New Roman"/>
          <w:color w:val="000000"/>
          <w:lang w:eastAsia="fr-FR"/>
        </w:rPr>
        <w:t> :</w:t>
      </w:r>
      <w:r w:rsidR="008D0AB0">
        <w:rPr>
          <w:rFonts w:ascii="Calibri" w:eastAsia="Times New Roman" w:hAnsi="Calibri" w:cs="Times New Roman"/>
          <w:color w:val="000000"/>
          <w:lang w:eastAsia="fr-FR"/>
        </w:rPr>
        <w:t xml:space="preserve"> </w:t>
      </w:r>
      <w:r w:rsidR="0073161C">
        <w:rPr>
          <w:rFonts w:ascii="Calibri" w:eastAsia="Times New Roman" w:hAnsi="Calibri" w:cs="Times New Roman"/>
          <w:color w:val="000000"/>
          <w:lang w:eastAsia="fr-FR"/>
        </w:rPr>
        <w:t>le</w:t>
      </w:r>
      <w:r w:rsidR="008D0AB0">
        <w:rPr>
          <w:rFonts w:ascii="Calibri" w:eastAsia="Times New Roman" w:hAnsi="Calibri" w:cs="Times New Roman"/>
          <w:color w:val="000000"/>
          <w:lang w:eastAsia="fr-FR"/>
        </w:rPr>
        <w:t>s</w:t>
      </w:r>
      <w:r w:rsidR="0073161C">
        <w:rPr>
          <w:rFonts w:ascii="Calibri" w:eastAsia="Times New Roman" w:hAnsi="Calibri" w:cs="Times New Roman"/>
          <w:color w:val="000000"/>
          <w:lang w:eastAsia="fr-FR"/>
        </w:rPr>
        <w:t xml:space="preserve"> PCB autres que le PCB 180 ont des résultats moins clairs que lui, il est possible que leur</w:t>
      </w:r>
      <w:r w:rsidR="00AF1BBB">
        <w:rPr>
          <w:rFonts w:ascii="Calibri" w:eastAsia="Times New Roman" w:hAnsi="Calibri" w:cs="Times New Roman"/>
          <w:color w:val="000000"/>
          <w:lang w:eastAsia="fr-FR"/>
        </w:rPr>
        <w:t>s</w:t>
      </w:r>
      <w:r w:rsidR="0073161C">
        <w:rPr>
          <w:rFonts w:ascii="Calibri" w:eastAsia="Times New Roman" w:hAnsi="Calibri" w:cs="Times New Roman"/>
          <w:color w:val="000000"/>
          <w:lang w:eastAsia="fr-FR"/>
        </w:rPr>
        <w:t xml:space="preserve"> OR soient simplement causés par leur association fréquente avec le PCB 180. En sens inverse, si des produits ont une liaison négative avec le PCB 180 (c’est-à-dire </w:t>
      </w:r>
      <w:r w:rsidR="0092047B">
        <w:rPr>
          <w:rFonts w:ascii="Calibri" w:eastAsia="Times New Roman" w:hAnsi="Calibri" w:cs="Times New Roman"/>
          <w:color w:val="000000"/>
          <w:lang w:eastAsia="fr-FR"/>
        </w:rPr>
        <w:t xml:space="preserve">qu’ils sont moins présents là où le PCB </w:t>
      </w:r>
      <w:r w:rsidR="006602BB">
        <w:rPr>
          <w:rFonts w:ascii="Calibri" w:eastAsia="Times New Roman" w:hAnsi="Calibri" w:cs="Times New Roman"/>
          <w:color w:val="000000"/>
          <w:lang w:eastAsia="fr-FR"/>
        </w:rPr>
        <w:t xml:space="preserve">180 </w:t>
      </w:r>
      <w:r w:rsidR="0092047B">
        <w:rPr>
          <w:rFonts w:ascii="Calibri" w:eastAsia="Times New Roman" w:hAnsi="Calibri" w:cs="Times New Roman"/>
          <w:color w:val="000000"/>
          <w:lang w:eastAsia="fr-FR"/>
        </w:rPr>
        <w:t xml:space="preserve">est le plus présent), ils vont obtenir un OR &lt;1, ce qui pourrait expliquer le léger excès d’OR </w:t>
      </w:r>
      <w:r w:rsidR="00703B4C">
        <w:rPr>
          <w:rFonts w:ascii="Calibri" w:eastAsia="Times New Roman" w:hAnsi="Calibri" w:cs="Times New Roman"/>
          <w:color w:val="000000"/>
          <w:lang w:eastAsia="fr-FR"/>
        </w:rPr>
        <w:t xml:space="preserve">significativement </w:t>
      </w:r>
      <w:r w:rsidR="0092047B">
        <w:rPr>
          <w:rFonts w:ascii="Calibri" w:eastAsia="Times New Roman" w:hAnsi="Calibri" w:cs="Times New Roman"/>
          <w:color w:val="000000"/>
          <w:lang w:eastAsia="fr-FR"/>
        </w:rPr>
        <w:t xml:space="preserve">inférieurs à 1 que nous avons observé. La question se pose en particulier pour les pesticides à usage </w:t>
      </w:r>
      <w:r w:rsidR="008D0AB0">
        <w:rPr>
          <w:rFonts w:ascii="Calibri" w:eastAsia="Times New Roman" w:hAnsi="Calibri" w:cs="Times New Roman"/>
          <w:color w:val="000000"/>
          <w:lang w:eastAsia="fr-FR"/>
        </w:rPr>
        <w:t>exclusivement</w:t>
      </w:r>
      <w:r w:rsidR="0092047B">
        <w:rPr>
          <w:rFonts w:ascii="Calibri" w:eastAsia="Times New Roman" w:hAnsi="Calibri" w:cs="Times New Roman"/>
          <w:color w:val="000000"/>
          <w:lang w:eastAsia="fr-FR"/>
        </w:rPr>
        <w:t xml:space="preserve"> agricole analysés dans cette étude : le </w:t>
      </w:r>
      <w:proofErr w:type="spellStart"/>
      <w:r w:rsidR="0092047B">
        <w:rPr>
          <w:rFonts w:ascii="Calibri" w:eastAsia="Times New Roman" w:hAnsi="Calibri" w:cs="Times New Roman"/>
          <w:color w:val="000000"/>
          <w:lang w:eastAsia="fr-FR"/>
        </w:rPr>
        <w:t>chlorpyrifos</w:t>
      </w:r>
      <w:proofErr w:type="spellEnd"/>
      <w:r w:rsidR="0092047B">
        <w:rPr>
          <w:rFonts w:ascii="Calibri" w:eastAsia="Times New Roman" w:hAnsi="Calibri" w:cs="Times New Roman"/>
          <w:color w:val="000000"/>
          <w:lang w:eastAsia="fr-FR"/>
        </w:rPr>
        <w:t>, le 2-4</w:t>
      </w:r>
      <w:r w:rsidR="00D177E2">
        <w:rPr>
          <w:rFonts w:ascii="Calibri" w:eastAsia="Times New Roman" w:hAnsi="Calibri" w:cs="Times New Roman"/>
          <w:color w:val="000000"/>
          <w:lang w:eastAsia="fr-FR"/>
        </w:rPr>
        <w:t xml:space="preserve"> </w:t>
      </w:r>
      <w:r w:rsidR="0092047B">
        <w:rPr>
          <w:rFonts w:ascii="Calibri" w:eastAsia="Times New Roman" w:hAnsi="Calibri" w:cs="Times New Roman"/>
          <w:color w:val="000000"/>
          <w:lang w:eastAsia="fr-FR"/>
        </w:rPr>
        <w:t xml:space="preserve">D, le </w:t>
      </w:r>
      <w:proofErr w:type="spellStart"/>
      <w:r w:rsidR="0092047B">
        <w:rPr>
          <w:rFonts w:ascii="Calibri" w:eastAsia="Times New Roman" w:hAnsi="Calibri" w:cs="Times New Roman"/>
          <w:color w:val="000000"/>
          <w:lang w:eastAsia="fr-FR"/>
        </w:rPr>
        <w:t>dicamba</w:t>
      </w:r>
      <w:proofErr w:type="spellEnd"/>
      <w:r w:rsidR="0092047B">
        <w:rPr>
          <w:rFonts w:ascii="Calibri" w:eastAsia="Times New Roman" w:hAnsi="Calibri" w:cs="Times New Roman"/>
          <w:color w:val="000000"/>
          <w:lang w:eastAsia="fr-FR"/>
        </w:rPr>
        <w:t xml:space="preserve"> et le </w:t>
      </w:r>
      <w:proofErr w:type="spellStart"/>
      <w:r w:rsidR="0092047B">
        <w:rPr>
          <w:rFonts w:ascii="Calibri" w:eastAsia="Times New Roman" w:hAnsi="Calibri" w:cs="Times New Roman"/>
          <w:color w:val="000000"/>
          <w:lang w:eastAsia="fr-FR"/>
        </w:rPr>
        <w:t>diazanon</w:t>
      </w:r>
      <w:proofErr w:type="spellEnd"/>
      <w:r w:rsidR="0092047B">
        <w:rPr>
          <w:rFonts w:ascii="Calibri" w:eastAsia="Times New Roman" w:hAnsi="Calibri" w:cs="Times New Roman"/>
          <w:color w:val="000000"/>
          <w:lang w:eastAsia="fr-FR"/>
        </w:rPr>
        <w:t>. Ces produits ont tous quatre des OR inférieurs à 1, proche du seuil de significativité à 5%. Il est donc possible que le LNH dans cette étude ait été causé par un ou des facteurs d’</w:t>
      </w:r>
      <w:r w:rsidR="00DD04AA">
        <w:rPr>
          <w:rFonts w:ascii="Calibri" w:eastAsia="Times New Roman" w:hAnsi="Calibri" w:cs="Times New Roman"/>
          <w:color w:val="000000"/>
          <w:lang w:eastAsia="fr-FR"/>
        </w:rPr>
        <w:t>origine plutôt industrielle ou urbaine, et soit moins fréquent dans les secteurs agricoles, ce qui expliquerait la liaison négative avec ces 4 pesticides (les autres pesticides sont ou ont été également</w:t>
      </w:r>
      <w:r w:rsidR="00D177E2">
        <w:rPr>
          <w:rFonts w:ascii="Calibri" w:eastAsia="Times New Roman" w:hAnsi="Calibri" w:cs="Times New Roman"/>
          <w:color w:val="000000"/>
          <w:lang w:eastAsia="fr-FR"/>
        </w:rPr>
        <w:t xml:space="preserve"> </w:t>
      </w:r>
      <w:r w:rsidR="00DD04AA">
        <w:rPr>
          <w:rFonts w:ascii="Calibri" w:eastAsia="Times New Roman" w:hAnsi="Calibri" w:cs="Times New Roman"/>
          <w:color w:val="000000"/>
          <w:lang w:eastAsia="fr-FR"/>
        </w:rPr>
        <w:t>utilisés comme insecticides à usage domestique ou pour la protection des charpentes</w:t>
      </w:r>
      <w:r w:rsidR="008D0AB0">
        <w:rPr>
          <w:rFonts w:ascii="Calibri" w:eastAsia="Times New Roman" w:hAnsi="Calibri" w:cs="Times New Roman"/>
          <w:color w:val="000000"/>
          <w:lang w:eastAsia="fr-FR"/>
        </w:rPr>
        <w:t>, on peut donc les trouver aussi bien en ville qu’à la campagne</w:t>
      </w:r>
      <w:r w:rsidR="00DD04AA">
        <w:rPr>
          <w:rFonts w:ascii="Calibri" w:eastAsia="Times New Roman" w:hAnsi="Calibri" w:cs="Times New Roman"/>
          <w:color w:val="000000"/>
          <w:lang w:eastAsia="fr-FR"/>
        </w:rPr>
        <w:t xml:space="preserve">). </w:t>
      </w:r>
    </w:p>
    <w:p w:rsidR="003B7458" w:rsidRDefault="003B7458" w:rsidP="007A6C35">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Il y avait donc de vraies et bonnes raisons de ne pas s’arrêter à l’examen des OR de chaque produit, et de faire des analyses supplémentaires pour redresser l</w:t>
      </w:r>
      <w:r w:rsidR="00D177E2">
        <w:rPr>
          <w:rFonts w:ascii="Calibri" w:eastAsia="Times New Roman" w:hAnsi="Calibri" w:cs="Times New Roman"/>
          <w:color w:val="000000"/>
          <w:lang w:eastAsia="fr-FR"/>
        </w:rPr>
        <w:t>es résultats en fonction d</w:t>
      </w:r>
      <w:r>
        <w:rPr>
          <w:rFonts w:ascii="Calibri" w:eastAsia="Times New Roman" w:hAnsi="Calibri" w:cs="Times New Roman"/>
          <w:color w:val="000000"/>
          <w:lang w:eastAsia="fr-FR"/>
        </w:rPr>
        <w:t>es corrélations éventuelles entre produits</w:t>
      </w:r>
      <w:r w:rsidRPr="00AF1BBB">
        <w:rPr>
          <w:rFonts w:ascii="Calibri" w:eastAsia="Times New Roman" w:hAnsi="Calibri" w:cs="Times New Roman"/>
          <w:b/>
          <w:color w:val="000000"/>
          <w:lang w:eastAsia="fr-FR"/>
        </w:rPr>
        <w:t xml:space="preserve">. C’est l’objectif officiel de cette publication de 2015…mais nous allons voir que la méthode choisie avait également une autre vertu moins avouable : appliquée à ce type de données, c’est un </w:t>
      </w:r>
      <w:r w:rsidR="008D0AB0" w:rsidRPr="00AF1BBB">
        <w:rPr>
          <w:rFonts w:ascii="Calibri" w:eastAsia="Times New Roman" w:hAnsi="Calibri" w:cs="Times New Roman"/>
          <w:b/>
          <w:color w:val="000000"/>
          <w:lang w:eastAsia="fr-FR"/>
        </w:rPr>
        <w:t xml:space="preserve"> </w:t>
      </w:r>
      <w:r w:rsidRPr="00AF1BBB">
        <w:rPr>
          <w:rFonts w:ascii="Calibri" w:eastAsia="Times New Roman" w:hAnsi="Calibri" w:cs="Times New Roman"/>
          <w:b/>
          <w:color w:val="000000"/>
          <w:lang w:eastAsia="fr-FR"/>
        </w:rPr>
        <w:t>« aspirateur à alphas »</w:t>
      </w:r>
      <w:r w:rsidR="008D0AB0" w:rsidRPr="00AF1BBB">
        <w:rPr>
          <w:rFonts w:ascii="Calibri" w:eastAsia="Times New Roman" w:hAnsi="Calibri" w:cs="Times New Roman"/>
          <w:b/>
          <w:color w:val="000000"/>
          <w:lang w:eastAsia="fr-FR"/>
        </w:rPr>
        <w:t xml:space="preserve"> aussi efficace que discret</w:t>
      </w:r>
      <w:r w:rsidRPr="00AF1BBB">
        <w:rPr>
          <w:rFonts w:ascii="Calibri" w:eastAsia="Times New Roman" w:hAnsi="Calibri" w:cs="Times New Roman"/>
          <w:b/>
          <w:color w:val="000000"/>
          <w:lang w:eastAsia="fr-FR"/>
        </w:rPr>
        <w:t>…</w:t>
      </w:r>
    </w:p>
    <w:p w:rsidR="00ED6134" w:rsidRDefault="00ED6134" w:rsidP="007A6C35">
      <w:pPr>
        <w:jc w:val="both"/>
        <w:rPr>
          <w:rFonts w:ascii="Calibri" w:eastAsia="Times New Roman" w:hAnsi="Calibri" w:cs="Times New Roman"/>
          <w:color w:val="000000"/>
          <w:lang w:eastAsia="fr-FR"/>
        </w:rPr>
      </w:pPr>
    </w:p>
    <w:p w:rsidR="00390DCC" w:rsidRPr="00390DCC" w:rsidRDefault="00390DCC" w:rsidP="007A6C35">
      <w:pPr>
        <w:jc w:val="both"/>
        <w:rPr>
          <w:rFonts w:ascii="Calibri" w:eastAsia="Times New Roman" w:hAnsi="Calibri" w:cs="Times New Roman"/>
          <w:b/>
          <w:color w:val="000000"/>
          <w:sz w:val="24"/>
          <w:lang w:eastAsia="fr-FR"/>
        </w:rPr>
      </w:pPr>
      <w:r w:rsidRPr="00390DCC">
        <w:rPr>
          <w:rFonts w:ascii="Calibri" w:eastAsia="Times New Roman" w:hAnsi="Calibri" w:cs="Times New Roman"/>
          <w:b/>
          <w:color w:val="000000"/>
          <w:sz w:val="24"/>
          <w:lang w:eastAsia="fr-FR"/>
        </w:rPr>
        <w:t>Une nouvelle méthode au secours des pêcheurs d’alphas</w:t>
      </w:r>
    </w:p>
    <w:p w:rsidR="008C1F4F" w:rsidRDefault="009B2371" w:rsidP="001C7427">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Dans cette</w:t>
      </w:r>
      <w:r w:rsidR="00795B92">
        <w:rPr>
          <w:rFonts w:ascii="Calibri" w:eastAsia="Times New Roman" w:hAnsi="Calibri" w:cs="Times New Roman"/>
          <w:color w:val="000000"/>
          <w:lang w:eastAsia="fr-FR"/>
        </w:rPr>
        <w:t xml:space="preserve"> publication </w:t>
      </w:r>
      <w:r>
        <w:rPr>
          <w:rFonts w:ascii="Calibri" w:eastAsia="Times New Roman" w:hAnsi="Calibri" w:cs="Times New Roman"/>
          <w:color w:val="000000"/>
          <w:lang w:eastAsia="fr-FR"/>
        </w:rPr>
        <w:t>de 2015</w:t>
      </w:r>
      <w:r w:rsidR="00795B92">
        <w:rPr>
          <w:rFonts w:ascii="Calibri" w:eastAsia="Times New Roman" w:hAnsi="Calibri" w:cs="Times New Roman"/>
          <w:color w:val="000000"/>
          <w:lang w:eastAsia="fr-FR"/>
        </w:rPr>
        <w:t xml:space="preserve">, les données ont été </w:t>
      </w:r>
      <w:proofErr w:type="spellStart"/>
      <w:r w:rsidR="00795B92">
        <w:rPr>
          <w:rFonts w:ascii="Calibri" w:eastAsia="Times New Roman" w:hAnsi="Calibri" w:cs="Times New Roman"/>
          <w:color w:val="000000"/>
          <w:lang w:eastAsia="fr-FR"/>
        </w:rPr>
        <w:t>réanalysées</w:t>
      </w:r>
      <w:proofErr w:type="spellEnd"/>
      <w:r w:rsidR="00795B92">
        <w:rPr>
          <w:rFonts w:ascii="Calibri" w:eastAsia="Times New Roman" w:hAnsi="Calibri" w:cs="Times New Roman"/>
          <w:color w:val="000000"/>
          <w:lang w:eastAsia="fr-FR"/>
        </w:rPr>
        <w:t xml:space="preserve"> à l’aide d’une nouvelle méthode statistique </w:t>
      </w:r>
      <w:r w:rsidR="00795B92" w:rsidRPr="00AF1BBB">
        <w:rPr>
          <w:rFonts w:ascii="Calibri" w:eastAsia="Times New Roman" w:hAnsi="Calibri" w:cs="Times New Roman"/>
          <w:b/>
          <w:color w:val="000000"/>
          <w:lang w:eastAsia="fr-FR"/>
        </w:rPr>
        <w:t xml:space="preserve">: </w:t>
      </w:r>
      <w:r w:rsidR="004352D0" w:rsidRPr="00AF1BBB">
        <w:rPr>
          <w:rFonts w:ascii="Calibri" w:eastAsia="Times New Roman" w:hAnsi="Calibri" w:cs="Times New Roman"/>
          <w:b/>
          <w:color w:val="000000"/>
          <w:lang w:eastAsia="fr-FR"/>
        </w:rPr>
        <w:t xml:space="preserve">la </w:t>
      </w:r>
      <w:proofErr w:type="spellStart"/>
      <w:r w:rsidR="004352D0" w:rsidRPr="00AF1BBB">
        <w:rPr>
          <w:rFonts w:ascii="Calibri" w:eastAsia="Times New Roman" w:hAnsi="Calibri" w:cs="Times New Roman"/>
          <w:b/>
          <w:color w:val="000000"/>
          <w:lang w:eastAsia="fr-FR"/>
        </w:rPr>
        <w:t>weighted</w:t>
      </w:r>
      <w:proofErr w:type="spellEnd"/>
      <w:r w:rsidR="004352D0" w:rsidRPr="00AF1BBB">
        <w:rPr>
          <w:rFonts w:ascii="Calibri" w:eastAsia="Times New Roman" w:hAnsi="Calibri" w:cs="Times New Roman"/>
          <w:b/>
          <w:color w:val="000000"/>
          <w:lang w:eastAsia="fr-FR"/>
        </w:rPr>
        <w:t xml:space="preserve"> quantile </w:t>
      </w:r>
      <w:proofErr w:type="spellStart"/>
      <w:r w:rsidR="004352D0" w:rsidRPr="00AF1BBB">
        <w:rPr>
          <w:rFonts w:ascii="Calibri" w:eastAsia="Times New Roman" w:hAnsi="Calibri" w:cs="Times New Roman"/>
          <w:b/>
          <w:color w:val="000000"/>
          <w:lang w:eastAsia="fr-FR"/>
        </w:rPr>
        <w:t>sum</w:t>
      </w:r>
      <w:proofErr w:type="spellEnd"/>
      <w:r w:rsidR="004352D0" w:rsidRPr="00AF1BBB">
        <w:rPr>
          <w:rFonts w:ascii="Calibri" w:eastAsia="Times New Roman" w:hAnsi="Calibri" w:cs="Times New Roman"/>
          <w:b/>
          <w:color w:val="000000"/>
          <w:lang w:eastAsia="fr-FR"/>
        </w:rPr>
        <w:t xml:space="preserve"> </w:t>
      </w:r>
      <w:proofErr w:type="spellStart"/>
      <w:r w:rsidR="004352D0" w:rsidRPr="00AF1BBB">
        <w:rPr>
          <w:rFonts w:ascii="Calibri" w:eastAsia="Times New Roman" w:hAnsi="Calibri" w:cs="Times New Roman"/>
          <w:b/>
          <w:color w:val="000000"/>
          <w:lang w:eastAsia="fr-FR"/>
        </w:rPr>
        <w:t>regression</w:t>
      </w:r>
      <w:proofErr w:type="spellEnd"/>
      <w:r w:rsidR="00CF5BC3">
        <w:rPr>
          <w:rStyle w:val="Appelnotedebasdep"/>
          <w:rFonts w:ascii="Calibri" w:eastAsia="Times New Roman" w:hAnsi="Calibri" w:cs="Times New Roman"/>
          <w:b/>
          <w:color w:val="000000"/>
          <w:lang w:eastAsia="fr-FR"/>
        </w:rPr>
        <w:footnoteReference w:id="3"/>
      </w:r>
      <w:r w:rsidR="004352D0">
        <w:rPr>
          <w:rFonts w:ascii="Calibri" w:eastAsia="Times New Roman" w:hAnsi="Calibri" w:cs="Times New Roman"/>
          <w:color w:val="000000"/>
          <w:lang w:eastAsia="fr-FR"/>
        </w:rPr>
        <w:t xml:space="preserve">. </w:t>
      </w:r>
      <w:r w:rsidR="00E84133">
        <w:rPr>
          <w:rFonts w:ascii="Calibri" w:eastAsia="Times New Roman" w:hAnsi="Calibri" w:cs="Times New Roman"/>
          <w:color w:val="000000"/>
          <w:lang w:eastAsia="fr-FR"/>
        </w:rPr>
        <w:t xml:space="preserve">Cette méthode vise à </w:t>
      </w:r>
      <w:r w:rsidR="00390DCC">
        <w:rPr>
          <w:rFonts w:ascii="Calibri" w:eastAsia="Times New Roman" w:hAnsi="Calibri" w:cs="Times New Roman"/>
          <w:color w:val="000000"/>
          <w:lang w:eastAsia="fr-FR"/>
        </w:rPr>
        <w:t>hiérarchiser</w:t>
      </w:r>
      <w:r w:rsidR="00E84133">
        <w:rPr>
          <w:rFonts w:ascii="Calibri" w:eastAsia="Times New Roman" w:hAnsi="Calibri" w:cs="Times New Roman"/>
          <w:color w:val="000000"/>
          <w:lang w:eastAsia="fr-FR"/>
        </w:rPr>
        <w:t xml:space="preserve"> l’effet de chaque molécule dans un cocktail de produits potentiellement dangereux, en éliminant l’effet des corrélations éventuelles entre eux. </w:t>
      </w:r>
      <w:r w:rsidR="004352D0">
        <w:rPr>
          <w:rFonts w:ascii="Calibri" w:eastAsia="Times New Roman" w:hAnsi="Calibri" w:cs="Times New Roman"/>
          <w:color w:val="000000"/>
          <w:lang w:eastAsia="fr-FR"/>
        </w:rPr>
        <w:t xml:space="preserve">Dans cette régression, on construit un indice (le </w:t>
      </w:r>
      <w:proofErr w:type="spellStart"/>
      <w:r w:rsidR="004352D0">
        <w:rPr>
          <w:rFonts w:ascii="Calibri" w:eastAsia="Times New Roman" w:hAnsi="Calibri" w:cs="Times New Roman"/>
          <w:color w:val="000000"/>
          <w:lang w:eastAsia="fr-FR"/>
        </w:rPr>
        <w:t>weighted</w:t>
      </w:r>
      <w:proofErr w:type="spellEnd"/>
      <w:r w:rsidR="004352D0">
        <w:rPr>
          <w:rFonts w:ascii="Calibri" w:eastAsia="Times New Roman" w:hAnsi="Calibri" w:cs="Times New Roman"/>
          <w:color w:val="000000"/>
          <w:lang w:eastAsia="fr-FR"/>
        </w:rPr>
        <w:t xml:space="preserve"> quantile </w:t>
      </w:r>
      <w:proofErr w:type="spellStart"/>
      <w:r w:rsidR="004352D0">
        <w:rPr>
          <w:rFonts w:ascii="Calibri" w:eastAsia="Times New Roman" w:hAnsi="Calibri" w:cs="Times New Roman"/>
          <w:color w:val="000000"/>
          <w:lang w:eastAsia="fr-FR"/>
        </w:rPr>
        <w:t>sum</w:t>
      </w:r>
      <w:proofErr w:type="spellEnd"/>
      <w:r w:rsidR="004352D0">
        <w:rPr>
          <w:rFonts w:ascii="Calibri" w:eastAsia="Times New Roman" w:hAnsi="Calibri" w:cs="Times New Roman"/>
          <w:color w:val="000000"/>
          <w:lang w:eastAsia="fr-FR"/>
        </w:rPr>
        <w:t xml:space="preserve"> index</w:t>
      </w:r>
      <w:r w:rsidR="00C63DAF">
        <w:rPr>
          <w:rFonts w:ascii="Calibri" w:eastAsia="Times New Roman" w:hAnsi="Calibri" w:cs="Times New Roman"/>
          <w:color w:val="000000"/>
          <w:lang w:eastAsia="fr-FR"/>
        </w:rPr>
        <w:t>, WQSI</w:t>
      </w:r>
      <w:r w:rsidR="004352D0">
        <w:rPr>
          <w:rFonts w:ascii="Calibri" w:eastAsia="Times New Roman" w:hAnsi="Calibri" w:cs="Times New Roman"/>
          <w:color w:val="000000"/>
          <w:lang w:eastAsia="fr-FR"/>
        </w:rPr>
        <w:t xml:space="preserve">), </w:t>
      </w:r>
      <w:r w:rsidR="00B00D38">
        <w:rPr>
          <w:rFonts w:ascii="Calibri" w:eastAsia="Times New Roman" w:hAnsi="Calibri" w:cs="Times New Roman"/>
          <w:color w:val="000000"/>
          <w:lang w:eastAsia="fr-FR"/>
        </w:rPr>
        <w:t xml:space="preserve">qui fait la somme des influences de chaque </w:t>
      </w:r>
      <w:r w:rsidR="0083558B">
        <w:rPr>
          <w:rFonts w:ascii="Calibri" w:eastAsia="Times New Roman" w:hAnsi="Calibri" w:cs="Times New Roman"/>
          <w:color w:val="000000"/>
          <w:lang w:eastAsia="fr-FR"/>
        </w:rPr>
        <w:t>molécule</w:t>
      </w:r>
      <w:r w:rsidR="00B00D38">
        <w:rPr>
          <w:rFonts w:ascii="Calibri" w:eastAsia="Times New Roman" w:hAnsi="Calibri" w:cs="Times New Roman"/>
          <w:color w:val="000000"/>
          <w:lang w:eastAsia="fr-FR"/>
        </w:rPr>
        <w:t xml:space="preserve"> sur la maladie étudié</w:t>
      </w:r>
      <w:r w:rsidR="00CA04F4">
        <w:rPr>
          <w:rFonts w:ascii="Calibri" w:eastAsia="Times New Roman" w:hAnsi="Calibri" w:cs="Times New Roman"/>
          <w:color w:val="000000"/>
          <w:lang w:eastAsia="fr-FR"/>
        </w:rPr>
        <w:t>e</w:t>
      </w:r>
      <w:r w:rsidR="00B00D38">
        <w:rPr>
          <w:rFonts w:ascii="Calibri" w:eastAsia="Times New Roman" w:hAnsi="Calibri" w:cs="Times New Roman"/>
          <w:color w:val="000000"/>
          <w:lang w:eastAsia="fr-FR"/>
        </w:rPr>
        <w:t>, en attribuant à chaque produit un coefficient qui optimise</w:t>
      </w:r>
      <w:r w:rsidR="00460501">
        <w:rPr>
          <w:rFonts w:ascii="Calibri" w:eastAsia="Times New Roman" w:hAnsi="Calibri" w:cs="Times New Roman"/>
          <w:color w:val="000000"/>
          <w:lang w:eastAsia="fr-FR"/>
        </w:rPr>
        <w:t xml:space="preserve"> </w:t>
      </w:r>
      <w:r w:rsidR="00C63DAF">
        <w:rPr>
          <w:rFonts w:ascii="Calibri" w:eastAsia="Times New Roman" w:hAnsi="Calibri" w:cs="Times New Roman"/>
          <w:color w:val="000000"/>
          <w:lang w:eastAsia="fr-FR"/>
        </w:rPr>
        <w:t>la liaison en</w:t>
      </w:r>
      <w:r w:rsidR="00CA04F4">
        <w:rPr>
          <w:rFonts w:ascii="Calibri" w:eastAsia="Times New Roman" w:hAnsi="Calibri" w:cs="Times New Roman"/>
          <w:color w:val="000000"/>
          <w:lang w:eastAsia="fr-FR"/>
        </w:rPr>
        <w:t>tre le WQSI et cette maladie</w:t>
      </w:r>
      <w:r w:rsidR="00C63DAF">
        <w:rPr>
          <w:rFonts w:ascii="Calibri" w:eastAsia="Times New Roman" w:hAnsi="Calibri" w:cs="Times New Roman"/>
          <w:color w:val="000000"/>
          <w:lang w:eastAsia="fr-FR"/>
        </w:rPr>
        <w:t xml:space="preserve">. </w:t>
      </w:r>
      <w:r w:rsidR="00631379">
        <w:rPr>
          <w:rFonts w:ascii="Calibri" w:eastAsia="Times New Roman" w:hAnsi="Calibri" w:cs="Times New Roman"/>
          <w:color w:val="000000"/>
          <w:lang w:eastAsia="fr-FR"/>
        </w:rPr>
        <w:t xml:space="preserve">Les produits qui ont le coefficient le plus élevé </w:t>
      </w:r>
      <w:r w:rsidR="00275272">
        <w:rPr>
          <w:rFonts w:ascii="Calibri" w:eastAsia="Times New Roman" w:hAnsi="Calibri" w:cs="Times New Roman"/>
          <w:color w:val="000000"/>
          <w:lang w:eastAsia="fr-FR"/>
        </w:rPr>
        <w:t xml:space="preserve">dans le WQSI </w:t>
      </w:r>
      <w:r w:rsidR="00631379">
        <w:rPr>
          <w:rFonts w:ascii="Calibri" w:eastAsia="Times New Roman" w:hAnsi="Calibri" w:cs="Times New Roman"/>
          <w:color w:val="000000"/>
          <w:lang w:eastAsia="fr-FR"/>
        </w:rPr>
        <w:t>sont donc</w:t>
      </w:r>
      <w:r w:rsidR="00390DCC">
        <w:rPr>
          <w:rFonts w:ascii="Calibri" w:eastAsia="Times New Roman" w:hAnsi="Calibri" w:cs="Times New Roman"/>
          <w:color w:val="000000"/>
          <w:lang w:eastAsia="fr-FR"/>
        </w:rPr>
        <w:t xml:space="preserve"> s</w:t>
      </w:r>
      <w:r w:rsidR="00D177E2">
        <w:rPr>
          <w:rFonts w:ascii="Calibri" w:eastAsia="Times New Roman" w:hAnsi="Calibri" w:cs="Times New Roman"/>
          <w:color w:val="000000"/>
          <w:lang w:eastAsia="fr-FR"/>
        </w:rPr>
        <w:t>upposé</w:t>
      </w:r>
      <w:r w:rsidR="00390DCC">
        <w:rPr>
          <w:rFonts w:ascii="Calibri" w:eastAsia="Times New Roman" w:hAnsi="Calibri" w:cs="Times New Roman"/>
          <w:color w:val="000000"/>
          <w:lang w:eastAsia="fr-FR"/>
        </w:rPr>
        <w:t>s être</w:t>
      </w:r>
      <w:r w:rsidR="00631379">
        <w:rPr>
          <w:rFonts w:ascii="Calibri" w:eastAsia="Times New Roman" w:hAnsi="Calibri" w:cs="Times New Roman"/>
          <w:color w:val="000000"/>
          <w:lang w:eastAsia="fr-FR"/>
        </w:rPr>
        <w:t xml:space="preserve"> les plus in</w:t>
      </w:r>
      <w:r w:rsidR="00CA04F4">
        <w:rPr>
          <w:rFonts w:ascii="Calibri" w:eastAsia="Times New Roman" w:hAnsi="Calibri" w:cs="Times New Roman"/>
          <w:color w:val="000000"/>
          <w:lang w:eastAsia="fr-FR"/>
        </w:rPr>
        <w:t>fluents sur la maladie étudiée. Un WQSI a été calculé pour chacun des 4 sites d’étude, et un cinquième pour le regroupement de l’ensemble des résultats.</w:t>
      </w:r>
      <w:r w:rsidR="00275272">
        <w:rPr>
          <w:rFonts w:ascii="Calibri" w:eastAsia="Times New Roman" w:hAnsi="Calibri" w:cs="Times New Roman"/>
          <w:color w:val="000000"/>
          <w:lang w:eastAsia="fr-FR"/>
        </w:rPr>
        <w:t xml:space="preserve"> Tous ces WQSI ont un OR significatif ou hautement significatif pour le LNH (sauf celui calculé pour Seattle, mais qui n’est pas très loin d’être significatif)</w:t>
      </w:r>
      <w:r w:rsidR="007210A3">
        <w:rPr>
          <w:rFonts w:ascii="Calibri" w:eastAsia="Times New Roman" w:hAnsi="Calibri" w:cs="Times New Roman"/>
          <w:color w:val="000000"/>
          <w:lang w:eastAsia="fr-FR"/>
        </w:rPr>
        <w:t xml:space="preserve"> (tableau 2 de </w:t>
      </w:r>
      <w:proofErr w:type="spellStart"/>
      <w:r w:rsidR="007210A3">
        <w:rPr>
          <w:rFonts w:ascii="Calibri" w:eastAsia="Times New Roman" w:hAnsi="Calibri" w:cs="Times New Roman"/>
          <w:color w:val="000000"/>
          <w:lang w:eastAsia="fr-FR"/>
        </w:rPr>
        <w:t>Czarnota</w:t>
      </w:r>
      <w:proofErr w:type="spellEnd"/>
      <w:r w:rsidR="007210A3">
        <w:rPr>
          <w:rFonts w:ascii="Calibri" w:eastAsia="Times New Roman" w:hAnsi="Calibri" w:cs="Times New Roman"/>
          <w:color w:val="000000"/>
          <w:lang w:eastAsia="fr-FR"/>
        </w:rPr>
        <w:t xml:space="preserve"> et al 2015)</w:t>
      </w:r>
      <w:r w:rsidR="00275272">
        <w:rPr>
          <w:rFonts w:ascii="Calibri" w:eastAsia="Times New Roman" w:hAnsi="Calibri" w:cs="Times New Roman"/>
          <w:color w:val="000000"/>
          <w:lang w:eastAsia="fr-FR"/>
        </w:rPr>
        <w:t xml:space="preserve">. C’est-à-dire que les personnes habitant dans un logement où le WQSI est élevé ont significativement plus de risques d’être atteints de LNH. </w:t>
      </w:r>
      <w:r w:rsidR="000C6E29" w:rsidRPr="00AF1BBB">
        <w:rPr>
          <w:rFonts w:ascii="Calibri" w:eastAsia="Times New Roman" w:hAnsi="Calibri" w:cs="Times New Roman"/>
          <w:b/>
          <w:color w:val="000000"/>
          <w:lang w:eastAsia="fr-FR"/>
        </w:rPr>
        <w:t>Il semble donc cette fois que nous ayons un</w:t>
      </w:r>
      <w:r w:rsidR="0083558B" w:rsidRPr="00AF1BBB">
        <w:rPr>
          <w:rFonts w:ascii="Calibri" w:eastAsia="Times New Roman" w:hAnsi="Calibri" w:cs="Times New Roman"/>
          <w:b/>
          <w:color w:val="000000"/>
          <w:lang w:eastAsia="fr-FR"/>
        </w:rPr>
        <w:t>e</w:t>
      </w:r>
      <w:r w:rsidR="000C6E29" w:rsidRPr="00AF1BBB">
        <w:rPr>
          <w:rFonts w:ascii="Calibri" w:eastAsia="Times New Roman" w:hAnsi="Calibri" w:cs="Times New Roman"/>
          <w:b/>
          <w:color w:val="000000"/>
          <w:lang w:eastAsia="fr-FR"/>
        </w:rPr>
        <w:t xml:space="preserve"> bonne méthode pour mettre en évidence un lien entre le cocktail de substances présentes dans les poussières et la maladie étudiée…mais les choses se gâtent quand on regarde le détail des résultats </w:t>
      </w:r>
      <w:r w:rsidR="00A44322">
        <w:rPr>
          <w:rFonts w:ascii="Calibri" w:eastAsia="Times New Roman" w:hAnsi="Calibri" w:cs="Times New Roman"/>
          <w:b/>
          <w:color w:val="000000"/>
          <w:lang w:eastAsia="fr-FR"/>
        </w:rPr>
        <w:t xml:space="preserve">par </w:t>
      </w:r>
      <w:r w:rsidR="000C6E29" w:rsidRPr="00AF1BBB">
        <w:rPr>
          <w:rFonts w:ascii="Calibri" w:eastAsia="Times New Roman" w:hAnsi="Calibri" w:cs="Times New Roman"/>
          <w:b/>
          <w:color w:val="000000"/>
          <w:lang w:eastAsia="fr-FR"/>
        </w:rPr>
        <w:t xml:space="preserve">molécule </w:t>
      </w:r>
      <w:r w:rsidR="00A44322">
        <w:rPr>
          <w:rFonts w:ascii="Calibri" w:eastAsia="Times New Roman" w:hAnsi="Calibri" w:cs="Times New Roman"/>
          <w:b/>
          <w:color w:val="000000"/>
          <w:lang w:eastAsia="fr-FR"/>
        </w:rPr>
        <w:t>et par site</w:t>
      </w:r>
      <w:r w:rsidR="0083558B" w:rsidRPr="00AF1BBB">
        <w:rPr>
          <w:rFonts w:ascii="Calibri" w:eastAsia="Times New Roman" w:hAnsi="Calibri" w:cs="Times New Roman"/>
          <w:b/>
          <w:color w:val="000000"/>
          <w:lang w:eastAsia="fr-FR"/>
        </w:rPr>
        <w:t>.</w:t>
      </w:r>
    </w:p>
    <w:p w:rsidR="00FE40A2" w:rsidRDefault="0083558B" w:rsidP="001C7427">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Dans cette méthode, c’est le coefficient </w:t>
      </w:r>
      <w:r w:rsidR="00864692">
        <w:rPr>
          <w:rFonts w:ascii="Calibri" w:eastAsia="Times New Roman" w:hAnsi="Calibri" w:cs="Times New Roman"/>
          <w:color w:val="000000"/>
          <w:lang w:eastAsia="fr-FR"/>
        </w:rPr>
        <w:t xml:space="preserve">attribué à chaque produit dans le WQSI qui mesure son effet </w:t>
      </w:r>
      <w:r w:rsidR="00913B6A">
        <w:rPr>
          <w:rFonts w:ascii="Calibri" w:eastAsia="Times New Roman" w:hAnsi="Calibri" w:cs="Times New Roman"/>
          <w:color w:val="000000"/>
          <w:lang w:eastAsia="fr-FR"/>
        </w:rPr>
        <w:t xml:space="preserve">relatif </w:t>
      </w:r>
      <w:r w:rsidR="004A32E2">
        <w:rPr>
          <w:rFonts w:ascii="Calibri" w:eastAsia="Times New Roman" w:hAnsi="Calibri" w:cs="Times New Roman"/>
          <w:color w:val="000000"/>
          <w:lang w:eastAsia="fr-FR"/>
        </w:rPr>
        <w:t xml:space="preserve">sur le </w:t>
      </w:r>
      <w:proofErr w:type="spellStart"/>
      <w:r w:rsidR="004A32E2">
        <w:rPr>
          <w:rFonts w:ascii="Calibri" w:eastAsia="Times New Roman" w:hAnsi="Calibri" w:cs="Times New Roman"/>
          <w:color w:val="000000"/>
          <w:lang w:eastAsia="fr-FR"/>
        </w:rPr>
        <w:t>lymphôme</w:t>
      </w:r>
      <w:proofErr w:type="spellEnd"/>
      <w:r w:rsidR="004A32E2">
        <w:rPr>
          <w:rFonts w:ascii="Calibri" w:eastAsia="Times New Roman" w:hAnsi="Calibri" w:cs="Times New Roman"/>
          <w:color w:val="000000"/>
          <w:lang w:eastAsia="fr-FR"/>
        </w:rPr>
        <w:t xml:space="preserve"> non hodgkinien</w:t>
      </w:r>
      <w:r w:rsidR="00864692">
        <w:rPr>
          <w:rFonts w:ascii="Calibri" w:eastAsia="Times New Roman" w:hAnsi="Calibri" w:cs="Times New Roman"/>
          <w:color w:val="000000"/>
          <w:lang w:eastAsia="fr-FR"/>
        </w:rPr>
        <w:t xml:space="preserve"> (ou tout au moins son association avec </w:t>
      </w:r>
      <w:r w:rsidR="004A32E2">
        <w:rPr>
          <w:rFonts w:ascii="Calibri" w:eastAsia="Times New Roman" w:hAnsi="Calibri" w:cs="Times New Roman"/>
          <w:color w:val="000000"/>
          <w:lang w:eastAsia="fr-FR"/>
        </w:rPr>
        <w:t>cette maladie</w:t>
      </w:r>
      <w:r w:rsidR="00864692">
        <w:rPr>
          <w:rFonts w:ascii="Calibri" w:eastAsia="Times New Roman" w:hAnsi="Calibri" w:cs="Times New Roman"/>
          <w:color w:val="000000"/>
          <w:lang w:eastAsia="fr-FR"/>
        </w:rPr>
        <w:t>)</w:t>
      </w:r>
      <w:r w:rsidR="00D177E2">
        <w:rPr>
          <w:rFonts w:ascii="Calibri" w:eastAsia="Times New Roman" w:hAnsi="Calibri" w:cs="Times New Roman"/>
          <w:color w:val="000000"/>
          <w:lang w:eastAsia="fr-FR"/>
        </w:rPr>
        <w:t>. L</w:t>
      </w:r>
      <w:r w:rsidR="001E7D25">
        <w:rPr>
          <w:rFonts w:ascii="Calibri" w:eastAsia="Times New Roman" w:hAnsi="Calibri" w:cs="Times New Roman"/>
          <w:color w:val="000000"/>
          <w:lang w:eastAsia="fr-FR"/>
        </w:rPr>
        <w:t xml:space="preserve">a somme des 27 </w:t>
      </w:r>
      <w:r w:rsidR="005506FC">
        <w:rPr>
          <w:rFonts w:ascii="Calibri" w:eastAsia="Times New Roman" w:hAnsi="Calibri" w:cs="Times New Roman"/>
          <w:color w:val="000000"/>
          <w:lang w:eastAsia="fr-FR"/>
        </w:rPr>
        <w:t>coefficients</w:t>
      </w:r>
      <w:r w:rsidR="001E7D25">
        <w:rPr>
          <w:rFonts w:ascii="Calibri" w:eastAsia="Times New Roman" w:hAnsi="Calibri" w:cs="Times New Roman"/>
          <w:color w:val="000000"/>
          <w:lang w:eastAsia="fr-FR"/>
        </w:rPr>
        <w:t xml:space="preserve"> calculés pour chaque W</w:t>
      </w:r>
      <w:r w:rsidR="00FE0BD9">
        <w:rPr>
          <w:rFonts w:ascii="Calibri" w:eastAsia="Times New Roman" w:hAnsi="Calibri" w:cs="Times New Roman"/>
          <w:color w:val="000000"/>
          <w:lang w:eastAsia="fr-FR"/>
        </w:rPr>
        <w:t>Q</w:t>
      </w:r>
      <w:r w:rsidR="00DD6F1E">
        <w:rPr>
          <w:rFonts w:ascii="Calibri" w:eastAsia="Times New Roman" w:hAnsi="Calibri" w:cs="Times New Roman"/>
          <w:color w:val="000000"/>
          <w:lang w:eastAsia="fr-FR"/>
        </w:rPr>
        <w:t>SI est de 1</w:t>
      </w:r>
      <w:r w:rsidR="001E7D25">
        <w:rPr>
          <w:rFonts w:ascii="Calibri" w:eastAsia="Times New Roman" w:hAnsi="Calibri" w:cs="Times New Roman"/>
          <w:color w:val="000000"/>
          <w:lang w:eastAsia="fr-FR"/>
        </w:rPr>
        <w:t xml:space="preserve">; </w:t>
      </w:r>
      <w:r w:rsidR="00913B6A">
        <w:rPr>
          <w:rFonts w:ascii="Calibri" w:eastAsia="Times New Roman" w:hAnsi="Calibri" w:cs="Times New Roman"/>
          <w:color w:val="000000"/>
          <w:lang w:eastAsia="fr-FR"/>
        </w:rPr>
        <w:t xml:space="preserve">si tous les produits avaient un effet équivalent, ils auraient </w:t>
      </w:r>
      <w:r w:rsidR="001E7D25">
        <w:rPr>
          <w:rFonts w:ascii="Calibri" w:eastAsia="Times New Roman" w:hAnsi="Calibri" w:cs="Times New Roman"/>
          <w:color w:val="000000"/>
          <w:lang w:eastAsia="fr-FR"/>
        </w:rPr>
        <w:t>donc</w:t>
      </w:r>
      <w:r w:rsidR="00913B6A">
        <w:rPr>
          <w:rFonts w:ascii="Calibri" w:eastAsia="Times New Roman" w:hAnsi="Calibri" w:cs="Times New Roman"/>
          <w:color w:val="000000"/>
          <w:lang w:eastAsia="fr-FR"/>
        </w:rPr>
        <w:t xml:space="preserve"> un coefficient de 0,037 (1/27). Ceux qui ont un coefficient </w:t>
      </w:r>
      <w:r w:rsidR="007210A3">
        <w:rPr>
          <w:rFonts w:ascii="Calibri" w:eastAsia="Times New Roman" w:hAnsi="Calibri" w:cs="Times New Roman"/>
          <w:color w:val="000000"/>
          <w:lang w:eastAsia="fr-FR"/>
        </w:rPr>
        <w:t xml:space="preserve">plus </w:t>
      </w:r>
      <w:r w:rsidR="00913B6A">
        <w:rPr>
          <w:rFonts w:ascii="Calibri" w:eastAsia="Times New Roman" w:hAnsi="Calibri" w:cs="Times New Roman"/>
          <w:color w:val="000000"/>
          <w:lang w:eastAsia="fr-FR"/>
        </w:rPr>
        <w:t>élevé</w:t>
      </w:r>
      <w:r w:rsidR="004A32E2">
        <w:rPr>
          <w:rFonts w:ascii="Calibri" w:eastAsia="Times New Roman" w:hAnsi="Calibri" w:cs="Times New Roman"/>
          <w:color w:val="000000"/>
          <w:lang w:eastAsia="fr-FR"/>
        </w:rPr>
        <w:t xml:space="preserve"> </w:t>
      </w:r>
      <w:r w:rsidR="004A32E2">
        <w:rPr>
          <w:rFonts w:ascii="Calibri" w:eastAsia="Times New Roman" w:hAnsi="Calibri" w:cs="Times New Roman"/>
          <w:color w:val="000000"/>
          <w:lang w:eastAsia="fr-FR"/>
        </w:rPr>
        <w:lastRenderedPageBreak/>
        <w:t>sont fortement corrélés au</w:t>
      </w:r>
      <w:r w:rsidR="00913B6A">
        <w:rPr>
          <w:rFonts w:ascii="Calibri" w:eastAsia="Times New Roman" w:hAnsi="Calibri" w:cs="Times New Roman"/>
          <w:color w:val="000000"/>
          <w:lang w:eastAsia="fr-FR"/>
        </w:rPr>
        <w:t xml:space="preserve"> LNH</w:t>
      </w:r>
      <w:r w:rsidR="004A32E2">
        <w:rPr>
          <w:rFonts w:ascii="Calibri" w:eastAsia="Times New Roman" w:hAnsi="Calibri" w:cs="Times New Roman"/>
          <w:color w:val="000000"/>
          <w:lang w:eastAsia="fr-FR"/>
        </w:rPr>
        <w:t xml:space="preserve"> (et donc suspects de le provoquer)</w:t>
      </w:r>
      <w:r w:rsidR="00913B6A">
        <w:rPr>
          <w:rFonts w:ascii="Calibri" w:eastAsia="Times New Roman" w:hAnsi="Calibri" w:cs="Times New Roman"/>
          <w:color w:val="000000"/>
          <w:lang w:eastAsia="fr-FR"/>
        </w:rPr>
        <w:t xml:space="preserve">, et ceux qui ont des coefficients nuls ou très faibles ne montrent aucune liaison avec le LNH. </w:t>
      </w:r>
      <w:r w:rsidR="002F5B00">
        <w:rPr>
          <w:rFonts w:ascii="Calibri" w:eastAsia="Times New Roman" w:hAnsi="Calibri" w:cs="Times New Roman"/>
          <w:color w:val="000000"/>
          <w:lang w:eastAsia="fr-FR"/>
        </w:rPr>
        <w:t>On pourrait donc espérer que cette fois les coefficients du WQSI soient plus cohérents que le</w:t>
      </w:r>
      <w:r w:rsidR="00D9696D">
        <w:rPr>
          <w:rFonts w:ascii="Calibri" w:eastAsia="Times New Roman" w:hAnsi="Calibri" w:cs="Times New Roman"/>
          <w:color w:val="000000"/>
          <w:lang w:eastAsia="fr-FR"/>
        </w:rPr>
        <w:t>s OR de la publication de 2005</w:t>
      </w:r>
      <w:r w:rsidR="002F5B00">
        <w:rPr>
          <w:rFonts w:ascii="Calibri" w:eastAsia="Times New Roman" w:hAnsi="Calibri" w:cs="Times New Roman"/>
          <w:color w:val="000000"/>
          <w:lang w:eastAsia="fr-FR"/>
        </w:rPr>
        <w:t xml:space="preserve">, </w:t>
      </w:r>
      <w:r w:rsidR="00D9696D">
        <w:rPr>
          <w:rFonts w:ascii="Calibri" w:eastAsia="Times New Roman" w:hAnsi="Calibri" w:cs="Times New Roman"/>
          <w:color w:val="000000"/>
          <w:lang w:eastAsia="fr-FR"/>
        </w:rPr>
        <w:t xml:space="preserve">mais </w:t>
      </w:r>
      <w:r w:rsidR="002F5B00">
        <w:rPr>
          <w:rFonts w:ascii="Calibri" w:eastAsia="Times New Roman" w:hAnsi="Calibri" w:cs="Times New Roman"/>
          <w:color w:val="000000"/>
          <w:lang w:eastAsia="fr-FR"/>
        </w:rPr>
        <w:t xml:space="preserve">ce n’est pas du tout le cas : </w:t>
      </w:r>
      <w:r w:rsidR="002F5B00" w:rsidRPr="007210A3">
        <w:rPr>
          <w:rFonts w:ascii="Calibri" w:eastAsia="Times New Roman" w:hAnsi="Calibri" w:cs="Times New Roman"/>
          <w:b/>
          <w:color w:val="000000"/>
          <w:lang w:eastAsia="fr-FR"/>
        </w:rPr>
        <w:t>leur distribution est tout aussi anarchique, et même encore plus</w:t>
      </w:r>
      <w:r w:rsidR="00D9696D" w:rsidRPr="007210A3">
        <w:rPr>
          <w:rFonts w:ascii="Calibri" w:eastAsia="Times New Roman" w:hAnsi="Calibri" w:cs="Times New Roman"/>
          <w:b/>
          <w:color w:val="000000"/>
          <w:lang w:eastAsia="fr-FR"/>
        </w:rPr>
        <w:t xml:space="preserve"> que celle des OR</w:t>
      </w:r>
      <w:r w:rsidR="002F5B00">
        <w:rPr>
          <w:rFonts w:ascii="Calibri" w:eastAsia="Times New Roman" w:hAnsi="Calibri" w:cs="Times New Roman"/>
          <w:color w:val="000000"/>
          <w:lang w:eastAsia="fr-FR"/>
        </w:rPr>
        <w:t>, puisque cette fois même les PCB ont des coefficients tantôt supérieurs, tantôt inférieur</w:t>
      </w:r>
      <w:r w:rsidR="00FE40A2">
        <w:rPr>
          <w:rFonts w:ascii="Calibri" w:eastAsia="Times New Roman" w:hAnsi="Calibri" w:cs="Times New Roman"/>
          <w:color w:val="000000"/>
          <w:lang w:eastAsia="fr-FR"/>
        </w:rPr>
        <w:t>s à la moyenne, selon les sites :</w:t>
      </w:r>
    </w:p>
    <w:p w:rsidR="00FE40A2" w:rsidRDefault="00FE40A2" w:rsidP="001C7427">
      <w:pPr>
        <w:jc w:val="both"/>
        <w:rPr>
          <w:rFonts w:ascii="Calibri" w:eastAsia="Times New Roman" w:hAnsi="Calibri" w:cs="Times New Roman"/>
          <w:color w:val="000000"/>
          <w:lang w:eastAsia="fr-FR"/>
        </w:rPr>
      </w:pPr>
      <w:r w:rsidRPr="00FE40A2">
        <w:rPr>
          <w:noProof/>
          <w:lang w:eastAsia="fr-FR"/>
        </w:rPr>
        <w:drawing>
          <wp:inline distT="0" distB="0" distL="0" distR="0">
            <wp:extent cx="5283200" cy="5162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0" cy="5162550"/>
                    </a:xfrm>
                    <a:prstGeom prst="rect">
                      <a:avLst/>
                    </a:prstGeom>
                    <a:noFill/>
                    <a:ln>
                      <a:noFill/>
                    </a:ln>
                  </pic:spPr>
                </pic:pic>
              </a:graphicData>
            </a:graphic>
          </wp:inline>
        </w:drawing>
      </w:r>
    </w:p>
    <w:p w:rsidR="00FE40A2" w:rsidRPr="007708BA" w:rsidRDefault="00FE40A2" w:rsidP="001C7427">
      <w:pPr>
        <w:jc w:val="both"/>
        <w:rPr>
          <w:rFonts w:ascii="Calibri" w:eastAsia="Times New Roman" w:hAnsi="Calibri" w:cs="Times New Roman"/>
          <w:b/>
          <w:i/>
          <w:color w:val="000000"/>
          <w:lang w:eastAsia="fr-FR"/>
        </w:rPr>
      </w:pPr>
      <w:r w:rsidRPr="007708BA">
        <w:rPr>
          <w:rFonts w:ascii="Calibri" w:eastAsia="Times New Roman" w:hAnsi="Calibri" w:cs="Times New Roman"/>
          <w:b/>
          <w:i/>
          <w:color w:val="000000"/>
          <w:lang w:eastAsia="fr-FR"/>
        </w:rPr>
        <w:t xml:space="preserve">Données du tableau 3 de </w:t>
      </w:r>
      <w:proofErr w:type="spellStart"/>
      <w:r w:rsidRPr="007708BA">
        <w:rPr>
          <w:rFonts w:ascii="Calibri" w:eastAsia="Times New Roman" w:hAnsi="Calibri" w:cs="Times New Roman"/>
          <w:b/>
          <w:i/>
          <w:color w:val="000000"/>
          <w:lang w:eastAsia="fr-FR"/>
        </w:rPr>
        <w:t>Czarnota</w:t>
      </w:r>
      <w:proofErr w:type="spellEnd"/>
      <w:r w:rsidRPr="007708BA">
        <w:rPr>
          <w:rFonts w:ascii="Calibri" w:eastAsia="Times New Roman" w:hAnsi="Calibri" w:cs="Times New Roman"/>
          <w:b/>
          <w:i/>
          <w:color w:val="000000"/>
          <w:lang w:eastAsia="fr-FR"/>
        </w:rPr>
        <w:t xml:space="preserve"> et al 2015 : coefficients attribués aux </w:t>
      </w:r>
      <w:r w:rsidR="007708BA" w:rsidRPr="007708BA">
        <w:rPr>
          <w:rFonts w:ascii="Calibri" w:eastAsia="Times New Roman" w:hAnsi="Calibri" w:cs="Times New Roman"/>
          <w:b/>
          <w:i/>
          <w:color w:val="000000"/>
          <w:lang w:eastAsia="fr-FR"/>
        </w:rPr>
        <w:t>27 produits testés dans les WQS</w:t>
      </w:r>
      <w:r w:rsidR="00CF5BC3">
        <w:rPr>
          <w:rFonts w:ascii="Calibri" w:eastAsia="Times New Roman" w:hAnsi="Calibri" w:cs="Times New Roman"/>
          <w:b/>
          <w:i/>
          <w:color w:val="000000"/>
          <w:lang w:eastAsia="fr-FR"/>
        </w:rPr>
        <w:t xml:space="preserve"> </w:t>
      </w:r>
      <w:r w:rsidR="007708BA" w:rsidRPr="007708BA">
        <w:rPr>
          <w:rFonts w:ascii="Calibri" w:eastAsia="Times New Roman" w:hAnsi="Calibri" w:cs="Times New Roman"/>
          <w:b/>
          <w:i/>
          <w:color w:val="000000"/>
          <w:lang w:eastAsia="fr-FR"/>
        </w:rPr>
        <w:t>I</w:t>
      </w:r>
      <w:r w:rsidR="00CF5BC3">
        <w:rPr>
          <w:rFonts w:ascii="Calibri" w:eastAsia="Times New Roman" w:hAnsi="Calibri" w:cs="Times New Roman"/>
          <w:b/>
          <w:i/>
          <w:color w:val="000000"/>
          <w:lang w:eastAsia="fr-FR"/>
        </w:rPr>
        <w:t>ndex,</w:t>
      </w:r>
      <w:r w:rsidR="007708BA" w:rsidRPr="007708BA">
        <w:rPr>
          <w:rFonts w:ascii="Calibri" w:eastAsia="Times New Roman" w:hAnsi="Calibri" w:cs="Times New Roman"/>
          <w:b/>
          <w:i/>
          <w:color w:val="000000"/>
          <w:lang w:eastAsia="fr-FR"/>
        </w:rPr>
        <w:t xml:space="preserve"> dans les 4 sites individuellement, puis en moyenne. Les produits ayant un coefficient élevé sont </w:t>
      </w:r>
      <w:proofErr w:type="spellStart"/>
      <w:r w:rsidR="007708BA" w:rsidRPr="007708BA">
        <w:rPr>
          <w:rFonts w:ascii="Calibri" w:eastAsia="Times New Roman" w:hAnsi="Calibri" w:cs="Times New Roman"/>
          <w:b/>
          <w:i/>
          <w:color w:val="000000"/>
          <w:lang w:eastAsia="fr-FR"/>
        </w:rPr>
        <w:t>sensés</w:t>
      </w:r>
      <w:proofErr w:type="spellEnd"/>
      <w:r w:rsidR="007708BA" w:rsidRPr="007708BA">
        <w:rPr>
          <w:rFonts w:ascii="Calibri" w:eastAsia="Times New Roman" w:hAnsi="Calibri" w:cs="Times New Roman"/>
          <w:b/>
          <w:i/>
          <w:color w:val="000000"/>
          <w:lang w:eastAsia="fr-FR"/>
        </w:rPr>
        <w:t xml:space="preserve"> être les plus liés au </w:t>
      </w:r>
      <w:proofErr w:type="spellStart"/>
      <w:r w:rsidR="007708BA" w:rsidRPr="007708BA">
        <w:rPr>
          <w:rFonts w:ascii="Calibri" w:eastAsia="Times New Roman" w:hAnsi="Calibri" w:cs="Times New Roman"/>
          <w:b/>
          <w:i/>
          <w:color w:val="000000"/>
          <w:lang w:eastAsia="fr-FR"/>
        </w:rPr>
        <w:t>lymphôme</w:t>
      </w:r>
      <w:proofErr w:type="spellEnd"/>
      <w:r w:rsidR="007708BA" w:rsidRPr="007708BA">
        <w:rPr>
          <w:rFonts w:ascii="Calibri" w:eastAsia="Times New Roman" w:hAnsi="Calibri" w:cs="Times New Roman"/>
          <w:b/>
          <w:i/>
          <w:color w:val="000000"/>
          <w:lang w:eastAsia="fr-FR"/>
        </w:rPr>
        <w:t xml:space="preserve"> non-hodgkinien. Les coefficients supérieurs à la moyenne sont surlignés en rouge, les autres en vert. En comparant ces données au tableau 1, on constate :</w:t>
      </w:r>
    </w:p>
    <w:p w:rsidR="007708BA" w:rsidRPr="007708BA" w:rsidRDefault="00CB1BED" w:rsidP="007708BA">
      <w:pPr>
        <w:pStyle w:val="Paragraphedeliste"/>
        <w:numPr>
          <w:ilvl w:val="0"/>
          <w:numId w:val="3"/>
        </w:numPr>
        <w:jc w:val="both"/>
        <w:rPr>
          <w:rFonts w:ascii="Calibri" w:eastAsia="Times New Roman" w:hAnsi="Calibri" w:cs="Times New Roman"/>
          <w:b/>
          <w:i/>
          <w:color w:val="000000"/>
          <w:lang w:eastAsia="fr-FR"/>
        </w:rPr>
      </w:pPr>
      <w:r>
        <w:rPr>
          <w:rFonts w:ascii="Calibri" w:eastAsia="Times New Roman" w:hAnsi="Calibri" w:cs="Times New Roman"/>
          <w:b/>
          <w:i/>
          <w:color w:val="000000"/>
          <w:lang w:eastAsia="fr-FR"/>
        </w:rPr>
        <w:t>q</w:t>
      </w:r>
      <w:r w:rsidR="007708BA" w:rsidRPr="007708BA">
        <w:rPr>
          <w:rFonts w:ascii="Calibri" w:eastAsia="Times New Roman" w:hAnsi="Calibri" w:cs="Times New Roman"/>
          <w:b/>
          <w:i/>
          <w:color w:val="000000"/>
          <w:lang w:eastAsia="fr-FR"/>
        </w:rPr>
        <w:t>ue la distribution de ces coefficients est tout aussi incohérente que l’était la distribution des OR</w:t>
      </w:r>
      <w:r w:rsidR="007210A3">
        <w:rPr>
          <w:rFonts w:ascii="Calibri" w:eastAsia="Times New Roman" w:hAnsi="Calibri" w:cs="Times New Roman"/>
          <w:b/>
          <w:i/>
          <w:color w:val="000000"/>
          <w:lang w:eastAsia="fr-FR"/>
        </w:rPr>
        <w:t> : un produit peut avoir un fort coefficient dans un site, et très faible dans un autre</w:t>
      </w:r>
      <w:r w:rsidR="00100E1D">
        <w:rPr>
          <w:rFonts w:ascii="Calibri" w:eastAsia="Times New Roman" w:hAnsi="Calibri" w:cs="Times New Roman"/>
          <w:b/>
          <w:i/>
          <w:color w:val="000000"/>
          <w:lang w:eastAsia="fr-FR"/>
        </w:rPr>
        <w:t xml:space="preserve">. Les </w:t>
      </w:r>
      <w:proofErr w:type="spellStart"/>
      <w:r w:rsidR="00100E1D">
        <w:rPr>
          <w:rFonts w:ascii="Calibri" w:eastAsia="Times New Roman" w:hAnsi="Calibri" w:cs="Times New Roman"/>
          <w:b/>
          <w:i/>
          <w:color w:val="000000"/>
          <w:lang w:eastAsia="fr-FR"/>
        </w:rPr>
        <w:t>coeffficients</w:t>
      </w:r>
      <w:proofErr w:type="spellEnd"/>
      <w:r w:rsidR="00100E1D">
        <w:rPr>
          <w:rFonts w:ascii="Calibri" w:eastAsia="Times New Roman" w:hAnsi="Calibri" w:cs="Times New Roman"/>
          <w:b/>
          <w:i/>
          <w:color w:val="000000"/>
          <w:lang w:eastAsia="fr-FR"/>
        </w:rPr>
        <w:t xml:space="preserve"> obtenus n’ont donc aucune logique toxicologique</w:t>
      </w:r>
    </w:p>
    <w:p w:rsidR="007708BA" w:rsidRPr="007708BA" w:rsidRDefault="00CB1BED" w:rsidP="007708BA">
      <w:pPr>
        <w:pStyle w:val="Paragraphedeliste"/>
        <w:numPr>
          <w:ilvl w:val="0"/>
          <w:numId w:val="3"/>
        </w:numPr>
        <w:jc w:val="both"/>
        <w:rPr>
          <w:rFonts w:ascii="Calibri" w:eastAsia="Times New Roman" w:hAnsi="Calibri" w:cs="Times New Roman"/>
          <w:b/>
          <w:i/>
          <w:color w:val="000000"/>
          <w:lang w:eastAsia="fr-FR"/>
        </w:rPr>
      </w:pPr>
      <w:r>
        <w:rPr>
          <w:rFonts w:ascii="Calibri" w:eastAsia="Times New Roman" w:hAnsi="Calibri" w:cs="Times New Roman"/>
          <w:b/>
          <w:i/>
          <w:color w:val="000000"/>
          <w:lang w:eastAsia="fr-FR"/>
        </w:rPr>
        <w:t>q</w:t>
      </w:r>
      <w:r w:rsidR="007708BA" w:rsidRPr="007708BA">
        <w:rPr>
          <w:rFonts w:ascii="Calibri" w:eastAsia="Times New Roman" w:hAnsi="Calibri" w:cs="Times New Roman"/>
          <w:b/>
          <w:i/>
          <w:color w:val="000000"/>
          <w:lang w:eastAsia="fr-FR"/>
        </w:rPr>
        <w:t xml:space="preserve">ue pour chaque WQSI, les 3 produits aux coefficients les plus élevés (en gras) totalisent </w:t>
      </w:r>
      <w:r w:rsidR="007210A3">
        <w:rPr>
          <w:rFonts w:ascii="Calibri" w:eastAsia="Times New Roman" w:hAnsi="Calibri" w:cs="Times New Roman"/>
          <w:b/>
          <w:i/>
          <w:color w:val="000000"/>
          <w:lang w:eastAsia="fr-FR"/>
        </w:rPr>
        <w:t xml:space="preserve">à eux seuls </w:t>
      </w:r>
      <w:r w:rsidR="007708BA" w:rsidRPr="007708BA">
        <w:rPr>
          <w:rFonts w:ascii="Calibri" w:eastAsia="Times New Roman" w:hAnsi="Calibri" w:cs="Times New Roman"/>
          <w:b/>
          <w:i/>
          <w:color w:val="000000"/>
          <w:lang w:eastAsia="fr-FR"/>
        </w:rPr>
        <w:t>plus de 50% du poids dans la régression WQS, et qu’il s’agit à chaque fois des produits qui avaient eu les OR les plus élevés pour le site étudié.</w:t>
      </w:r>
    </w:p>
    <w:p w:rsidR="007708BA" w:rsidRPr="007708BA" w:rsidRDefault="007708BA" w:rsidP="007708BA">
      <w:pPr>
        <w:jc w:val="both"/>
        <w:rPr>
          <w:rFonts w:ascii="Calibri" w:eastAsia="Times New Roman" w:hAnsi="Calibri" w:cs="Times New Roman"/>
          <w:color w:val="000000"/>
          <w:lang w:eastAsia="fr-FR"/>
        </w:rPr>
      </w:pPr>
      <w:r w:rsidRPr="007708BA">
        <w:rPr>
          <w:rFonts w:ascii="Calibri" w:eastAsia="Times New Roman" w:hAnsi="Calibri" w:cs="Times New Roman"/>
          <w:b/>
          <w:i/>
          <w:color w:val="000000"/>
          <w:lang w:eastAsia="fr-FR"/>
        </w:rPr>
        <w:lastRenderedPageBreak/>
        <w:t>Au bout du compte, la régression WQS fait donc ressortir les mêmes produits que les OR (dont nous avons vu que la distribution était conforme au hasard pour les 22 produits non PCB), et ne fournit pas de test d’évaluation du risque de première espèce qui permettrait de juger de la crédibilité des résultats obtenus.</w:t>
      </w:r>
    </w:p>
    <w:p w:rsidR="00FE40A2" w:rsidRDefault="00FE40A2" w:rsidP="001C7427">
      <w:pPr>
        <w:jc w:val="both"/>
        <w:rPr>
          <w:rFonts w:ascii="Calibri" w:eastAsia="Times New Roman" w:hAnsi="Calibri" w:cs="Times New Roman"/>
          <w:color w:val="000000"/>
          <w:lang w:eastAsia="fr-FR"/>
        </w:rPr>
      </w:pPr>
    </w:p>
    <w:p w:rsidR="0083558B" w:rsidRDefault="00D9696D" w:rsidP="001C7427">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Cela jette </w:t>
      </w:r>
      <w:r w:rsidR="00390DCC">
        <w:rPr>
          <w:rFonts w:ascii="Calibri" w:eastAsia="Times New Roman" w:hAnsi="Calibri" w:cs="Times New Roman"/>
          <w:color w:val="000000"/>
          <w:lang w:eastAsia="fr-FR"/>
        </w:rPr>
        <w:t xml:space="preserve">d’emblée </w:t>
      </w:r>
      <w:r>
        <w:rPr>
          <w:rFonts w:ascii="Calibri" w:eastAsia="Times New Roman" w:hAnsi="Calibri" w:cs="Times New Roman"/>
          <w:color w:val="000000"/>
          <w:lang w:eastAsia="fr-FR"/>
        </w:rPr>
        <w:t xml:space="preserve">un sérieux doute sur la pertinence de la méthode employée : certes, on a réussi </w:t>
      </w:r>
      <w:r w:rsidR="0074523C">
        <w:rPr>
          <w:rFonts w:ascii="Calibri" w:eastAsia="Times New Roman" w:hAnsi="Calibri" w:cs="Times New Roman"/>
          <w:color w:val="000000"/>
          <w:lang w:eastAsia="fr-FR"/>
        </w:rPr>
        <w:t xml:space="preserve">à obtenir dans chaque site un index </w:t>
      </w:r>
      <w:r w:rsidR="00D177E2">
        <w:rPr>
          <w:rFonts w:ascii="Calibri" w:eastAsia="Times New Roman" w:hAnsi="Calibri" w:cs="Times New Roman"/>
          <w:color w:val="000000"/>
          <w:lang w:eastAsia="fr-FR"/>
        </w:rPr>
        <w:t xml:space="preserve">WQSI </w:t>
      </w:r>
      <w:r w:rsidR="0074523C">
        <w:rPr>
          <w:rFonts w:ascii="Calibri" w:eastAsia="Times New Roman" w:hAnsi="Calibri" w:cs="Times New Roman"/>
          <w:color w:val="000000"/>
          <w:lang w:eastAsia="fr-FR"/>
        </w:rPr>
        <w:t xml:space="preserve">fortement </w:t>
      </w:r>
      <w:r w:rsidR="00390DCC">
        <w:rPr>
          <w:rFonts w:ascii="Calibri" w:eastAsia="Times New Roman" w:hAnsi="Calibri" w:cs="Times New Roman"/>
          <w:color w:val="000000"/>
          <w:lang w:eastAsia="fr-FR"/>
        </w:rPr>
        <w:t>corrélé</w:t>
      </w:r>
      <w:r w:rsidR="0074523C">
        <w:rPr>
          <w:rFonts w:ascii="Calibri" w:eastAsia="Times New Roman" w:hAnsi="Calibri" w:cs="Times New Roman"/>
          <w:color w:val="000000"/>
          <w:lang w:eastAsia="fr-FR"/>
        </w:rPr>
        <w:t xml:space="preserve"> au LNH, mais en appliquant des coefficients ajustés ad hoc pour chaque ville, sans aucune cohérence</w:t>
      </w:r>
      <w:r w:rsidR="00390DCC">
        <w:rPr>
          <w:rFonts w:ascii="Calibri" w:eastAsia="Times New Roman" w:hAnsi="Calibri" w:cs="Times New Roman"/>
          <w:color w:val="000000"/>
          <w:lang w:eastAsia="fr-FR"/>
        </w:rPr>
        <w:t xml:space="preserve"> entre sites</w:t>
      </w:r>
      <w:r w:rsidR="001E7D25">
        <w:rPr>
          <w:rFonts w:ascii="Calibri" w:eastAsia="Times New Roman" w:hAnsi="Calibri" w:cs="Times New Roman"/>
          <w:color w:val="000000"/>
          <w:lang w:eastAsia="fr-FR"/>
        </w:rPr>
        <w:t>. Par exemple, l’insecticide</w:t>
      </w:r>
      <w:r w:rsidR="0074523C">
        <w:rPr>
          <w:rFonts w:ascii="Calibri" w:eastAsia="Times New Roman" w:hAnsi="Calibri" w:cs="Times New Roman"/>
          <w:color w:val="000000"/>
          <w:lang w:eastAsia="fr-FR"/>
        </w:rPr>
        <w:t xml:space="preserve"> </w:t>
      </w:r>
      <w:proofErr w:type="spellStart"/>
      <w:r w:rsidR="0074523C">
        <w:rPr>
          <w:rFonts w:ascii="Calibri" w:eastAsia="Times New Roman" w:hAnsi="Calibri" w:cs="Times New Roman"/>
          <w:color w:val="000000"/>
          <w:lang w:eastAsia="fr-FR"/>
        </w:rPr>
        <w:t>propoxur</w:t>
      </w:r>
      <w:proofErr w:type="spellEnd"/>
      <w:r w:rsidR="0074523C">
        <w:rPr>
          <w:rFonts w:ascii="Calibri" w:eastAsia="Times New Roman" w:hAnsi="Calibri" w:cs="Times New Roman"/>
          <w:color w:val="000000"/>
          <w:lang w:eastAsia="fr-FR"/>
        </w:rPr>
        <w:t xml:space="preserve"> </w:t>
      </w:r>
      <w:r w:rsidR="00D177E2">
        <w:rPr>
          <w:rFonts w:ascii="Calibri" w:eastAsia="Times New Roman" w:hAnsi="Calibri" w:cs="Times New Roman"/>
          <w:color w:val="000000"/>
          <w:lang w:eastAsia="fr-FR"/>
        </w:rPr>
        <w:t xml:space="preserve">(matière active du </w:t>
      </w:r>
      <w:proofErr w:type="spellStart"/>
      <w:r w:rsidR="00D177E2">
        <w:rPr>
          <w:rFonts w:ascii="Calibri" w:eastAsia="Times New Roman" w:hAnsi="Calibri" w:cs="Times New Roman"/>
          <w:color w:val="000000"/>
          <w:lang w:eastAsia="fr-FR"/>
        </w:rPr>
        <w:t>Baygon</w:t>
      </w:r>
      <w:proofErr w:type="spellEnd"/>
      <w:r w:rsidR="00D177E2">
        <w:rPr>
          <w:rFonts w:ascii="Calibri" w:eastAsia="Times New Roman" w:hAnsi="Calibri" w:cs="Times New Roman"/>
          <w:color w:val="000000"/>
          <w:lang w:eastAsia="fr-FR"/>
        </w:rPr>
        <w:t xml:space="preserve">) </w:t>
      </w:r>
      <w:r w:rsidR="0074523C">
        <w:rPr>
          <w:rFonts w:ascii="Calibri" w:eastAsia="Times New Roman" w:hAnsi="Calibri" w:cs="Times New Roman"/>
          <w:color w:val="000000"/>
          <w:lang w:eastAsia="fr-FR"/>
        </w:rPr>
        <w:t xml:space="preserve">a un coefficient très faible dans le WQSI de Los Angeles (le site où il a </w:t>
      </w:r>
      <w:r w:rsidR="00643575">
        <w:rPr>
          <w:rFonts w:ascii="Calibri" w:eastAsia="Times New Roman" w:hAnsi="Calibri" w:cs="Times New Roman"/>
          <w:color w:val="000000"/>
          <w:lang w:eastAsia="fr-FR"/>
        </w:rPr>
        <w:t xml:space="preserve">pourtant </w:t>
      </w:r>
      <w:r w:rsidR="0074523C">
        <w:rPr>
          <w:rFonts w:ascii="Calibri" w:eastAsia="Times New Roman" w:hAnsi="Calibri" w:cs="Times New Roman"/>
          <w:color w:val="000000"/>
          <w:lang w:eastAsia="fr-FR"/>
        </w:rPr>
        <w:t xml:space="preserve">été détecté de loin avec les plus fortes concentrations), et très élevé dans le WQSI de l’Iowa (site où les </w:t>
      </w:r>
      <w:r w:rsidR="00643575">
        <w:rPr>
          <w:rFonts w:ascii="Calibri" w:eastAsia="Times New Roman" w:hAnsi="Calibri" w:cs="Times New Roman"/>
          <w:color w:val="000000"/>
          <w:lang w:eastAsia="fr-FR"/>
        </w:rPr>
        <w:t xml:space="preserve">concentrations étaient </w:t>
      </w:r>
      <w:r w:rsidR="0074523C">
        <w:rPr>
          <w:rFonts w:ascii="Calibri" w:eastAsia="Times New Roman" w:hAnsi="Calibri" w:cs="Times New Roman"/>
          <w:color w:val="000000"/>
          <w:lang w:eastAsia="fr-FR"/>
        </w:rPr>
        <w:t>les plus faibles).</w:t>
      </w:r>
      <w:r w:rsidR="00643575">
        <w:rPr>
          <w:rFonts w:ascii="Calibri" w:eastAsia="Times New Roman" w:hAnsi="Calibri" w:cs="Times New Roman"/>
          <w:color w:val="000000"/>
          <w:lang w:eastAsia="fr-FR"/>
        </w:rPr>
        <w:t xml:space="preserve"> </w:t>
      </w:r>
      <w:r w:rsidR="00643575" w:rsidRPr="00AF1BBB">
        <w:rPr>
          <w:rFonts w:ascii="Calibri" w:eastAsia="Times New Roman" w:hAnsi="Calibri" w:cs="Times New Roman"/>
          <w:b/>
          <w:color w:val="000000"/>
          <w:lang w:eastAsia="fr-FR"/>
        </w:rPr>
        <w:t>D’un point de vue toxicologique, on a du mal à comprendre comment une molécule pourrait avoir des effets aussi différents d’un site à l’autre.</w:t>
      </w:r>
    </w:p>
    <w:p w:rsidR="001A35A4" w:rsidRDefault="00643575" w:rsidP="001C7427">
      <w:pPr>
        <w:jc w:val="both"/>
      </w:pPr>
      <w:r>
        <w:t>Ce manque de cohérence des coefficients de</w:t>
      </w:r>
      <w:r w:rsidR="004E1EF5">
        <w:t>s WQSI peut paraitre surprenant, mais il</w:t>
      </w:r>
      <w:r>
        <w:t xml:space="preserve"> a une explication toute simple, que les auteurs glissent en </w:t>
      </w:r>
      <w:r w:rsidR="006602BB">
        <w:t>cours</w:t>
      </w:r>
      <w:r>
        <w:t xml:space="preserve"> de discussion comme s’il s’agissait d’un détail : « </w:t>
      </w:r>
      <w:r w:rsidRPr="00643575">
        <w:t xml:space="preserve">A limitation of WQS </w:t>
      </w:r>
      <w:proofErr w:type="spellStart"/>
      <w:r w:rsidRPr="00643575">
        <w:t>regression</w:t>
      </w:r>
      <w:proofErr w:type="spellEnd"/>
      <w:r w:rsidRPr="00643575">
        <w:t xml:space="preserve"> </w:t>
      </w:r>
      <w:proofErr w:type="spellStart"/>
      <w:r w:rsidRPr="00643575">
        <w:t>is</w:t>
      </w:r>
      <w:proofErr w:type="spellEnd"/>
      <w:r w:rsidRPr="00643575">
        <w:t xml:space="preserve"> </w:t>
      </w:r>
      <w:proofErr w:type="spellStart"/>
      <w:r w:rsidRPr="00643575">
        <w:t>that</w:t>
      </w:r>
      <w:proofErr w:type="spellEnd"/>
      <w:r w:rsidRPr="00643575">
        <w:t xml:space="preserve"> </w:t>
      </w:r>
      <w:proofErr w:type="spellStart"/>
      <w:r w:rsidRPr="00643575">
        <w:t>it</w:t>
      </w:r>
      <w:proofErr w:type="spellEnd"/>
      <w:r w:rsidRPr="00643575">
        <w:t xml:space="preserve"> </w:t>
      </w:r>
      <w:proofErr w:type="spellStart"/>
      <w:r w:rsidRPr="00643575">
        <w:t>cannot</w:t>
      </w:r>
      <w:proofErr w:type="spellEnd"/>
      <w:r w:rsidRPr="00643575">
        <w:t xml:space="preserve"> </w:t>
      </w:r>
      <w:proofErr w:type="spellStart"/>
      <w:r w:rsidRPr="00643575">
        <w:t>identify</w:t>
      </w:r>
      <w:proofErr w:type="spellEnd"/>
      <w:r w:rsidRPr="00643575">
        <w:t xml:space="preserve"> associations in </w:t>
      </w:r>
      <w:proofErr w:type="spellStart"/>
      <w:r w:rsidRPr="00643575">
        <w:t>different</w:t>
      </w:r>
      <w:proofErr w:type="spellEnd"/>
      <w:r w:rsidRPr="00643575">
        <w:t xml:space="preserve"> directions for the components of the index.</w:t>
      </w:r>
      <w:r>
        <w:t> ». En clair, la régression WQS ne devrait être utilisée que si tous les produits étudiés ont un effet de même sens (c’est-à-dire qu’ils favorisent tous la maladie, ou bien qu’ils en protègent tous). Or nous avons vu que, dans les résultats de base, nous avions très exactement 50% de molécules avec un 0R &gt; 1 (et donc une liaison positive avec le LNH), et 50% avec un OR&lt;1</w:t>
      </w:r>
      <w:r w:rsidR="004E1EF5">
        <w:t xml:space="preserve"> (donc une liaison négative avec le LNH). Qu’est-il advenu des molécules </w:t>
      </w:r>
      <w:r w:rsidR="00D0305E">
        <w:t xml:space="preserve">à OR &lt; 1 ? Les auteurs se félicitent </w:t>
      </w:r>
      <w:r w:rsidR="004339A9">
        <w:t xml:space="preserve">avec une certaine candeur </w:t>
      </w:r>
      <w:r w:rsidR="00D0305E">
        <w:t xml:space="preserve">de ce qu’elles ont toutes eu des coefficients négligeables dans le calcul des WQSI. Le contraire aurait été surprenant, vu que par construction </w:t>
      </w:r>
      <w:r w:rsidR="001A6060">
        <w:t>la régression ne pouvait pas leur attribuer de coefficient négatif</w:t>
      </w:r>
      <w:r w:rsidR="005506FC">
        <w:t> : elle leur a donc attribué des coefficients proches de 0, pour ne pas dégrader la relation entre WQSI et LNH</w:t>
      </w:r>
      <w:r w:rsidR="001A6060">
        <w:t xml:space="preserve">. </w:t>
      </w:r>
      <w:r w:rsidR="00C50DA3" w:rsidRPr="00AF1BBB">
        <w:rPr>
          <w:b/>
        </w:rPr>
        <w:t>On voit donc ici la 1</w:t>
      </w:r>
      <w:r w:rsidR="00C50DA3" w:rsidRPr="00AF1BBB">
        <w:rPr>
          <w:b/>
          <w:vertAlign w:val="superscript"/>
        </w:rPr>
        <w:t>ère</w:t>
      </w:r>
      <w:r w:rsidR="00C50DA3" w:rsidRPr="00AF1BBB">
        <w:rPr>
          <w:b/>
        </w:rPr>
        <w:t xml:space="preserve"> vertu de la régression</w:t>
      </w:r>
      <w:r w:rsidR="006602BB" w:rsidRPr="00AF1BBB">
        <w:rPr>
          <w:b/>
        </w:rPr>
        <w:t xml:space="preserve"> WQS</w:t>
      </w:r>
      <w:r w:rsidR="00C50DA3" w:rsidRPr="00AF1BBB">
        <w:rPr>
          <w:b/>
        </w:rPr>
        <w:t xml:space="preserve"> pour les pêcheurs d’alphas : elle élimine automatiquement du WQS </w:t>
      </w:r>
      <w:r w:rsidR="006602BB" w:rsidRPr="00AF1BBB">
        <w:rPr>
          <w:b/>
        </w:rPr>
        <w:t xml:space="preserve">Index </w:t>
      </w:r>
      <w:proofErr w:type="spellStart"/>
      <w:r w:rsidR="00C50DA3" w:rsidRPr="00AF1BBB">
        <w:rPr>
          <w:b/>
        </w:rPr>
        <w:t>I</w:t>
      </w:r>
      <w:r w:rsidR="001A6060" w:rsidRPr="00AF1BBB">
        <w:rPr>
          <w:b/>
        </w:rPr>
        <w:t>es</w:t>
      </w:r>
      <w:proofErr w:type="spellEnd"/>
      <w:r w:rsidR="001A6060" w:rsidRPr="00AF1BBB">
        <w:rPr>
          <w:b/>
        </w:rPr>
        <w:t xml:space="preserve"> </w:t>
      </w:r>
      <w:r w:rsidR="001E7D25" w:rsidRPr="00AF1BBB">
        <w:rPr>
          <w:b/>
        </w:rPr>
        <w:t>produits à OR &lt;1</w:t>
      </w:r>
      <w:r w:rsidR="001E7D25" w:rsidRPr="007708BA">
        <w:rPr>
          <w:b/>
        </w:rPr>
        <w:t>. En d’</w:t>
      </w:r>
      <w:r w:rsidR="00C50DA3" w:rsidRPr="007708BA">
        <w:rPr>
          <w:b/>
        </w:rPr>
        <w:t xml:space="preserve">autres termes, elle </w:t>
      </w:r>
      <w:r w:rsidR="001E7D25" w:rsidRPr="007708BA">
        <w:rPr>
          <w:b/>
        </w:rPr>
        <w:t>sélectionne</w:t>
      </w:r>
      <w:r w:rsidR="00C50DA3" w:rsidRPr="007708BA">
        <w:rPr>
          <w:b/>
        </w:rPr>
        <w:t xml:space="preserve"> donc</w:t>
      </w:r>
      <w:r w:rsidR="001E7D25" w:rsidRPr="007708BA">
        <w:rPr>
          <w:b/>
        </w:rPr>
        <w:t xml:space="preserve"> les alphas positifs !</w:t>
      </w:r>
      <w:r w:rsidR="001E7D25">
        <w:t xml:space="preserve"> De plus, on const</w:t>
      </w:r>
      <w:r w:rsidR="00CF5BC3">
        <w:t xml:space="preserve">ate que, dans chaque site, </w:t>
      </w:r>
      <w:r w:rsidR="006602BB">
        <w:t xml:space="preserve">trois </w:t>
      </w:r>
      <w:r w:rsidR="001E7D25">
        <w:t xml:space="preserve">produits cumulent </w:t>
      </w:r>
      <w:r w:rsidR="001345EF">
        <w:t xml:space="preserve">à eux seuls </w:t>
      </w:r>
      <w:r w:rsidR="001E7D25">
        <w:t xml:space="preserve">plus de la moitié du poids des coefficients du WQSI… et qu’à chaque fois il </w:t>
      </w:r>
      <w:r w:rsidR="001345EF">
        <w:t xml:space="preserve">s’agit </w:t>
      </w:r>
      <w:r w:rsidR="004339A9">
        <w:t xml:space="preserve">précisément </w:t>
      </w:r>
      <w:r w:rsidR="001345EF">
        <w:t xml:space="preserve">de ceux qui avaient eu les </w:t>
      </w:r>
      <w:r w:rsidR="005506FC">
        <w:t>OR les plus élevés pour ce site !</w:t>
      </w:r>
      <w:r w:rsidR="001E7D25">
        <w:t xml:space="preserve"> </w:t>
      </w:r>
      <w:r w:rsidR="001E7D25" w:rsidRPr="00CB1BED">
        <w:rPr>
          <w:b/>
        </w:rPr>
        <w:t xml:space="preserve">Au bout du compte, l’analyse des coefficients des WQSI n’apporte </w:t>
      </w:r>
      <w:r w:rsidR="004339A9" w:rsidRPr="00CB1BED">
        <w:rPr>
          <w:b/>
        </w:rPr>
        <w:t xml:space="preserve">donc </w:t>
      </w:r>
      <w:r w:rsidR="001E7D25" w:rsidRPr="00CB1BED">
        <w:rPr>
          <w:b/>
        </w:rPr>
        <w:t xml:space="preserve">aucun élément nouveau : elle </w:t>
      </w:r>
      <w:r w:rsidR="00AF1BBB" w:rsidRPr="00CB1BED">
        <w:rPr>
          <w:b/>
        </w:rPr>
        <w:t xml:space="preserve">a simplement agi comme un filtre pour faire ressortir </w:t>
      </w:r>
      <w:r w:rsidR="001E7D25" w:rsidRPr="00CB1BED">
        <w:rPr>
          <w:b/>
        </w:rPr>
        <w:t xml:space="preserve"> </w:t>
      </w:r>
      <w:r w:rsidR="00B2007D" w:rsidRPr="00CB1BED">
        <w:rPr>
          <w:b/>
        </w:rPr>
        <w:t>exactement les mêmes croisements molécule*site que l’analyse initiale des OR, avec les mêmes incohérences entre sites</w:t>
      </w:r>
      <w:r w:rsidR="00B2007D">
        <w:t>.</w:t>
      </w:r>
      <w:r w:rsidR="00D1098F">
        <w:t xml:space="preserve"> Tout en faisant disparaitre discrètement les OR &lt; 1 de cette étude initiale.</w:t>
      </w:r>
    </w:p>
    <w:p w:rsidR="00D1098F" w:rsidRDefault="00D1098F" w:rsidP="001C7427">
      <w:pPr>
        <w:jc w:val="both"/>
      </w:pPr>
    </w:p>
    <w:p w:rsidR="00C67845" w:rsidRPr="004339A9" w:rsidRDefault="005506FC" w:rsidP="001C7427">
      <w:pPr>
        <w:jc w:val="both"/>
        <w:rPr>
          <w:b/>
        </w:rPr>
      </w:pPr>
      <w:r w:rsidRPr="004339A9">
        <w:rPr>
          <w:b/>
        </w:rPr>
        <w:t>Une méthode sans contrôle du risque de 1</w:t>
      </w:r>
      <w:r w:rsidRPr="004339A9">
        <w:rPr>
          <w:b/>
          <w:vertAlign w:val="superscript"/>
        </w:rPr>
        <w:t>ère</w:t>
      </w:r>
      <w:r w:rsidRPr="004339A9">
        <w:rPr>
          <w:b/>
        </w:rPr>
        <w:t xml:space="preserve"> espèce</w:t>
      </w:r>
    </w:p>
    <w:p w:rsidR="00E9628A" w:rsidRDefault="00C67845" w:rsidP="001C7427">
      <w:pPr>
        <w:jc w:val="both"/>
      </w:pPr>
      <w:r>
        <w:t xml:space="preserve">Concrètement, pour les 22 produits autres que les PCB, la nouvelle et très complexe méthode statistique employée donne </w:t>
      </w:r>
      <w:r w:rsidR="00FE0BD9">
        <w:t xml:space="preserve">finalement </w:t>
      </w:r>
      <w:r>
        <w:t>les mêmes résultats que l’analyse initiale</w:t>
      </w:r>
      <w:r w:rsidR="008E38F2">
        <w:t xml:space="preserve"> basée sur les OR. Or nous avons </w:t>
      </w:r>
      <w:r w:rsidR="00A03DE1">
        <w:t xml:space="preserve">vu que la distribution </w:t>
      </w:r>
      <w:r w:rsidR="008E38F2">
        <w:t xml:space="preserve">de ces OR </w:t>
      </w:r>
      <w:r w:rsidR="00A03DE1">
        <w:t xml:space="preserve">ne différait pas de celle que l’on aurait obtenu avec 22 produits inoffensifs ! </w:t>
      </w:r>
      <w:r w:rsidR="008E38F2">
        <w:t xml:space="preserve">Le résultat obtenu avec la </w:t>
      </w:r>
      <w:r w:rsidR="009E1044">
        <w:t xml:space="preserve">régression </w:t>
      </w:r>
      <w:r w:rsidR="008E38F2">
        <w:t xml:space="preserve">WQS est-il </w:t>
      </w:r>
      <w:r w:rsidR="004339A9">
        <w:t xml:space="preserve">lui </w:t>
      </w:r>
      <w:r w:rsidR="008E38F2">
        <w:t>aussi une simple conséquence du risque de 1</w:t>
      </w:r>
      <w:r w:rsidR="008E38F2" w:rsidRPr="008E38F2">
        <w:rPr>
          <w:vertAlign w:val="superscript"/>
        </w:rPr>
        <w:t>ère</w:t>
      </w:r>
      <w:r w:rsidR="008E38F2">
        <w:t xml:space="preserve"> espèce ? Impossible de le savoir :</w:t>
      </w:r>
      <w:r w:rsidR="00A03DE1">
        <w:t xml:space="preserve"> </w:t>
      </w:r>
      <w:r w:rsidR="00705D47">
        <w:t>dans la régression WQS, l’évaluation de chaque produit dépe</w:t>
      </w:r>
      <w:r w:rsidR="000A4DDF">
        <w:t>nd de son coeffi</w:t>
      </w:r>
      <w:r w:rsidR="00705D47">
        <w:t xml:space="preserve">cient de régression, et non de son OR. Pour les OR, nous </w:t>
      </w:r>
      <w:r w:rsidR="00705D47">
        <w:lastRenderedPageBreak/>
        <w:t xml:space="preserve">avons </w:t>
      </w:r>
      <w:r w:rsidR="004339A9">
        <w:t xml:space="preserve">vu </w:t>
      </w:r>
      <w:r w:rsidR="00705D47">
        <w:t xml:space="preserve">qu’on calculait une probabilité critique et un intervalle de confiance à 95%, qui permettaient de s’assurer de la significativité des écarts à la normale, et donc de démasquer les alphas. </w:t>
      </w:r>
      <w:r w:rsidR="00705D47" w:rsidRPr="00D1098F">
        <w:rPr>
          <w:b/>
        </w:rPr>
        <w:t xml:space="preserve">Or il n’existe </w:t>
      </w:r>
      <w:r w:rsidR="00A03DE1" w:rsidRPr="00D1098F">
        <w:rPr>
          <w:b/>
        </w:rPr>
        <w:t>pas de test statistique pour vérifier la sign</w:t>
      </w:r>
      <w:r w:rsidR="008E38F2" w:rsidRPr="00D1098F">
        <w:rPr>
          <w:b/>
        </w:rPr>
        <w:t>ificativité des écarts d</w:t>
      </w:r>
      <w:r w:rsidR="00A03DE1" w:rsidRPr="00D1098F">
        <w:rPr>
          <w:b/>
        </w:rPr>
        <w:t xml:space="preserve">es coefficients </w:t>
      </w:r>
      <w:r w:rsidR="008E38F2" w:rsidRPr="00D1098F">
        <w:rPr>
          <w:b/>
        </w:rPr>
        <w:t xml:space="preserve">du WQSI </w:t>
      </w:r>
      <w:r w:rsidR="00A03DE1" w:rsidRPr="00D1098F">
        <w:rPr>
          <w:b/>
        </w:rPr>
        <w:t xml:space="preserve">par rapport à la normale. </w:t>
      </w:r>
      <w:r w:rsidR="00C50DA3" w:rsidRPr="00D1098F">
        <w:rPr>
          <w:b/>
        </w:rPr>
        <w:t>Nous touchons là la 2</w:t>
      </w:r>
      <w:r w:rsidR="00C50DA3" w:rsidRPr="00D1098F">
        <w:rPr>
          <w:b/>
          <w:vertAlign w:val="superscript"/>
        </w:rPr>
        <w:t>ème</w:t>
      </w:r>
      <w:r w:rsidR="00C50DA3" w:rsidRPr="00D1098F">
        <w:rPr>
          <w:b/>
        </w:rPr>
        <w:t xml:space="preserve"> vertu essentielle de cette méthode : il est impossible </w:t>
      </w:r>
      <w:r w:rsidR="00A03DE1" w:rsidRPr="00D1098F">
        <w:rPr>
          <w:b/>
        </w:rPr>
        <w:t>de distinguer la pêche aux alphas de résultats « réellement » significatifs !</w:t>
      </w:r>
      <w:r w:rsidR="00A03DE1">
        <w:t xml:space="preserve"> </w:t>
      </w:r>
      <w:r w:rsidR="00705D47">
        <w:t>Ce serait déjà gênant si les résultats de la régression WQS différaient radicalement de ceux des OR. Cela l’est encore plus, quand, après moult détours compliqués, l’analyse des coefficients WQSI nous ressort finalement les mêmes résultats que les OR !</w:t>
      </w:r>
    </w:p>
    <w:p w:rsidR="000A4DDF" w:rsidRPr="00CF5BC3" w:rsidRDefault="000B3B19" w:rsidP="001C7427">
      <w:pPr>
        <w:jc w:val="both"/>
        <w:rPr>
          <w:b/>
        </w:rPr>
      </w:pPr>
      <w:r w:rsidRPr="00CF5BC3">
        <w:rPr>
          <w:b/>
        </w:rPr>
        <w:t>Si</w:t>
      </w:r>
      <w:r w:rsidR="000A4DDF" w:rsidRPr="00CF5BC3">
        <w:rPr>
          <w:b/>
        </w:rPr>
        <w:t xml:space="preserve"> on fait le bilan de cette étude, on constate donc </w:t>
      </w:r>
      <w:r w:rsidRPr="00CF5BC3">
        <w:rPr>
          <w:b/>
        </w:rPr>
        <w:t xml:space="preserve">que </w:t>
      </w:r>
      <w:r w:rsidR="000A4DDF" w:rsidRPr="00CF5BC3">
        <w:rPr>
          <w:b/>
        </w:rPr>
        <w:t>:</w:t>
      </w:r>
    </w:p>
    <w:p w:rsidR="00C50DA3" w:rsidRPr="00CF5BC3" w:rsidRDefault="000A4DDF" w:rsidP="000A4DDF">
      <w:pPr>
        <w:pStyle w:val="Paragraphedeliste"/>
        <w:numPr>
          <w:ilvl w:val="0"/>
          <w:numId w:val="1"/>
        </w:numPr>
        <w:jc w:val="both"/>
        <w:rPr>
          <w:b/>
        </w:rPr>
      </w:pPr>
      <w:r w:rsidRPr="00CF5BC3">
        <w:rPr>
          <w:b/>
        </w:rPr>
        <w:t xml:space="preserve">Les auteurs sont partis de données qui présentaient quelques résultats significatifs, mais </w:t>
      </w:r>
      <w:r w:rsidR="000B3B19" w:rsidRPr="00CF5BC3">
        <w:rPr>
          <w:b/>
        </w:rPr>
        <w:t>dont la distribution laissait penser (pour les 22 produits non PCB) qu’il s’agissait d’un simple effet du risque de 1</w:t>
      </w:r>
      <w:r w:rsidR="000B3B19" w:rsidRPr="00CF5BC3">
        <w:rPr>
          <w:b/>
          <w:vertAlign w:val="superscript"/>
        </w:rPr>
        <w:t>ère</w:t>
      </w:r>
      <w:r w:rsidR="000B3B19" w:rsidRPr="00CF5BC3">
        <w:rPr>
          <w:b/>
        </w:rPr>
        <w:t xml:space="preserve"> espèce.</w:t>
      </w:r>
      <w:r w:rsidRPr="00CF5BC3">
        <w:rPr>
          <w:b/>
        </w:rPr>
        <w:t xml:space="preserve"> </w:t>
      </w:r>
    </w:p>
    <w:p w:rsidR="000B3B19" w:rsidRPr="00CF5BC3" w:rsidRDefault="000B3B19" w:rsidP="000A4DDF">
      <w:pPr>
        <w:pStyle w:val="Paragraphedeliste"/>
        <w:numPr>
          <w:ilvl w:val="0"/>
          <w:numId w:val="1"/>
        </w:numPr>
        <w:jc w:val="both"/>
        <w:rPr>
          <w:b/>
        </w:rPr>
      </w:pPr>
      <w:r w:rsidRPr="00CF5BC3">
        <w:rPr>
          <w:b/>
        </w:rPr>
        <w:t>Ils ont réalisé une nouvelle analyse statistique, avec une méthode inappropriée, puisqu’elle ne pouvait normalement s’appliquer qu’à des produits ayant tous une liaison positive avec le LNH, ce qui n’était pas le cas de leur jeu de données.</w:t>
      </w:r>
    </w:p>
    <w:p w:rsidR="000B3B19" w:rsidRPr="00CF5BC3" w:rsidRDefault="000B3B19" w:rsidP="000A4DDF">
      <w:pPr>
        <w:pStyle w:val="Paragraphedeliste"/>
        <w:numPr>
          <w:ilvl w:val="0"/>
          <w:numId w:val="1"/>
        </w:numPr>
        <w:jc w:val="both"/>
        <w:rPr>
          <w:b/>
        </w:rPr>
      </w:pPr>
      <w:r w:rsidRPr="00CF5BC3">
        <w:rPr>
          <w:b/>
        </w:rPr>
        <w:t xml:space="preserve">Après ce traitement inapproprié, ils obtiennent des résultats identiques à ceux </w:t>
      </w:r>
      <w:r w:rsidR="00085D97" w:rsidRPr="00CF5BC3">
        <w:rPr>
          <w:b/>
        </w:rPr>
        <w:t>de l’analyse initiale, mais par</w:t>
      </w:r>
      <w:r w:rsidRPr="00CF5BC3">
        <w:rPr>
          <w:b/>
        </w:rPr>
        <w:t xml:space="preserve"> une méthode qui ne permet </w:t>
      </w:r>
      <w:r w:rsidR="003269CB" w:rsidRPr="00CF5BC3">
        <w:rPr>
          <w:b/>
        </w:rPr>
        <w:t xml:space="preserve">pas </w:t>
      </w:r>
      <w:r w:rsidRPr="00CF5BC3">
        <w:rPr>
          <w:b/>
        </w:rPr>
        <w:t>de vérifier le risque de 1</w:t>
      </w:r>
      <w:r w:rsidRPr="00CF5BC3">
        <w:rPr>
          <w:b/>
          <w:vertAlign w:val="superscript"/>
        </w:rPr>
        <w:t>ère</w:t>
      </w:r>
      <w:r w:rsidRPr="00CF5BC3">
        <w:rPr>
          <w:b/>
        </w:rPr>
        <w:t xml:space="preserve"> espèce.</w:t>
      </w:r>
    </w:p>
    <w:p w:rsidR="003269CB" w:rsidRDefault="00D1098F" w:rsidP="000B3B19">
      <w:pPr>
        <w:jc w:val="both"/>
      </w:pPr>
      <w:r>
        <w:t>Des</w:t>
      </w:r>
      <w:r w:rsidR="000B3B19">
        <w:t xml:space="preserve"> chercheur</w:t>
      </w:r>
      <w:r>
        <w:t>s</w:t>
      </w:r>
      <w:r w:rsidR="000B3B19">
        <w:t xml:space="preserve"> jeune</w:t>
      </w:r>
      <w:r>
        <w:t>s</w:t>
      </w:r>
      <w:r w:rsidR="000B3B19">
        <w:t xml:space="preserve"> et naïf</w:t>
      </w:r>
      <w:r>
        <w:t>s</w:t>
      </w:r>
      <w:r w:rsidR="000B3B19">
        <w:t xml:space="preserve"> pourrai</w:t>
      </w:r>
      <w:r>
        <w:t>ent penser qu’il</w:t>
      </w:r>
      <w:r w:rsidR="00BA6021">
        <w:t>s</w:t>
      </w:r>
      <w:r>
        <w:t xml:space="preserve"> ont perdu leur temps, et que leur</w:t>
      </w:r>
      <w:r w:rsidR="000B3B19">
        <w:t>s résultats n’ont aucune chance d’être publiés. C’</w:t>
      </w:r>
      <w:r w:rsidR="003269CB">
        <w:t>est oublier que les revues scientifiques ont des intérêts communs avec eux. L</w:t>
      </w:r>
      <w:r w:rsidR="000B3B19">
        <w:t>es chercheurs ont désespérément besoin de résultats significatifs (d’où la ten</w:t>
      </w:r>
      <w:r w:rsidR="003269CB">
        <w:t>tation de la pêche aux alphas). Les</w:t>
      </w:r>
      <w:r w:rsidR="000B3B19">
        <w:t xml:space="preserve"> revues scientifiques cherchent tout aussi désespérément des articles susceptibles de faire monter leur impact factor. </w:t>
      </w:r>
      <w:r w:rsidR="003269CB">
        <w:t>De ce point de vue, les pesticides sont clairement  un meilleur sujet que les PCB, dont le sort est réglé depuis longtemps. Avec un minimum d’intelligence, il est donc possible de satisfaire tout le monde. Pour cela, quel</w:t>
      </w:r>
      <w:r>
        <w:t>ques précautions simples o</w:t>
      </w:r>
      <w:r w:rsidR="003269CB">
        <w:t>nt</w:t>
      </w:r>
      <w:r w:rsidR="00993C18">
        <w:t xml:space="preserve"> </w:t>
      </w:r>
      <w:r>
        <w:t xml:space="preserve">suffi </w:t>
      </w:r>
      <w:r w:rsidR="00993C18">
        <w:t>pour les auteurs</w:t>
      </w:r>
      <w:r w:rsidR="003269CB">
        <w:t> :</w:t>
      </w:r>
    </w:p>
    <w:p w:rsidR="00993C18" w:rsidRDefault="00993C18" w:rsidP="003269CB">
      <w:pPr>
        <w:pStyle w:val="Paragraphedeliste"/>
        <w:numPr>
          <w:ilvl w:val="0"/>
          <w:numId w:val="2"/>
        </w:numPr>
        <w:jc w:val="both"/>
      </w:pPr>
      <w:r>
        <w:t>Employer une méthode suffisamment complexe et nouvelle pour décourager la curiosité de la majorité des lecteurs</w:t>
      </w:r>
    </w:p>
    <w:p w:rsidR="000B3B19" w:rsidRDefault="003269CB" w:rsidP="003269CB">
      <w:pPr>
        <w:pStyle w:val="Paragraphedeliste"/>
        <w:numPr>
          <w:ilvl w:val="0"/>
          <w:numId w:val="2"/>
        </w:numPr>
        <w:jc w:val="both"/>
      </w:pPr>
      <w:r>
        <w:t>Mettre en annexe (plutôt que dans le corps du texte) les résultats embarrassants</w:t>
      </w:r>
    </w:p>
    <w:p w:rsidR="00D1098F" w:rsidRDefault="00993C18" w:rsidP="00D1098F">
      <w:pPr>
        <w:pStyle w:val="Paragraphedeliste"/>
        <w:numPr>
          <w:ilvl w:val="0"/>
          <w:numId w:val="2"/>
        </w:numPr>
        <w:jc w:val="both"/>
      </w:pPr>
      <w:r>
        <w:t>Glisser eux-mêmes dans le texte les objections que l’on pourrait faire à leur méthode, de façon suffisamment elliptique pour laisser croire qu’elles sont mineures.</w:t>
      </w:r>
      <w:r w:rsidR="00D1098F">
        <w:t xml:space="preserve"> </w:t>
      </w:r>
    </w:p>
    <w:p w:rsidR="00D1098F" w:rsidRDefault="00D1098F" w:rsidP="00D1098F">
      <w:pPr>
        <w:jc w:val="both"/>
      </w:pPr>
      <w:r>
        <w:t>Ce 3</w:t>
      </w:r>
      <w:r w:rsidRPr="00D1098F">
        <w:rPr>
          <w:vertAlign w:val="superscript"/>
        </w:rPr>
        <w:t>ème</w:t>
      </w:r>
      <w:r>
        <w:t xml:space="preserve">  point est essentiel : tout le succès de l’opération repose sur le doigté avec lequel les </w:t>
      </w:r>
      <w:r w:rsidR="00CB1BED">
        <w:t xml:space="preserve">auteurs réussissent à expliquer </w:t>
      </w:r>
      <w:r>
        <w:t>qu’ils ont employé une méthode statistique normalement inapplicable aux données étudiées</w:t>
      </w:r>
      <w:r w:rsidR="00CB1BED">
        <w:t>, tout en restant assez elliptiques pour que l’importance de cette objection ne soit pas trop claire</w:t>
      </w:r>
      <w:r>
        <w:t>. Une fois ce postulat accepté pa</w:t>
      </w:r>
      <w:r w:rsidR="00BA6021">
        <w:t>r la revue, il n’</w:t>
      </w:r>
      <w:r w:rsidR="00DF4875">
        <w:t xml:space="preserve">y a plus aucun risque : on tient un bel article sur un sujet scientifique vendeur, sans risque de contre-attaque trop cinglante. Si par hasard un collègue grincheux envoie une lettre aux éditeurs pour rappeler que la méthode statistique est inadaptée, il suffira de répondre que cette objection était signalée par les auteurs, mais qu’il restait intéressant de vérifier que cette nouvelle méthode statistique ne donnait pas de résultats aberrants dans ce </w:t>
      </w:r>
      <w:r w:rsidR="00CF5BC3">
        <w:t>contexte. Avec un peu de chance</w:t>
      </w:r>
      <w:r w:rsidR="00DF4875">
        <w:t xml:space="preserve">, il est plus probable que d’autres épidémiologistes perçoivent plutôt le potentiel de cette méthode pour doper leurs résultats, et qu’elle devienne vite suffisamment </w:t>
      </w:r>
      <w:r w:rsidR="004E2D52">
        <w:t>employé</w:t>
      </w:r>
      <w:r w:rsidR="00BA6021">
        <w:t xml:space="preserve">e </w:t>
      </w:r>
      <w:r w:rsidR="004E2D52">
        <w:t xml:space="preserve">pour devenir inattaquable. </w:t>
      </w:r>
    </w:p>
    <w:p w:rsidR="00993C18" w:rsidRDefault="00993C18" w:rsidP="00993C18">
      <w:pPr>
        <w:jc w:val="both"/>
      </w:pPr>
    </w:p>
    <w:p w:rsidR="00CB1BED" w:rsidRDefault="00CB1BED" w:rsidP="00993C18">
      <w:pPr>
        <w:jc w:val="both"/>
      </w:pPr>
    </w:p>
    <w:p w:rsidR="002C2747" w:rsidRPr="002C2747" w:rsidRDefault="002C2747" w:rsidP="00993C18">
      <w:pPr>
        <w:jc w:val="both"/>
        <w:rPr>
          <w:b/>
        </w:rPr>
      </w:pPr>
      <w:r w:rsidRPr="002C2747">
        <w:rPr>
          <w:b/>
        </w:rPr>
        <w:t>Quand les statistiques sont plus belles que les données, publiez les statistiques</w:t>
      </w:r>
    </w:p>
    <w:p w:rsidR="00CF5BC3" w:rsidRDefault="00CF5BC3" w:rsidP="00993C18">
      <w:pPr>
        <w:jc w:val="both"/>
      </w:pPr>
      <w:r>
        <w:t xml:space="preserve">L’air de rien, cette publication est révélatrice d’une tendance de plus en </w:t>
      </w:r>
      <w:r w:rsidR="007F0869">
        <w:t>plus fréquente : l’effacement</w:t>
      </w:r>
      <w:r w:rsidR="002C2747">
        <w:t xml:space="preserve"> des données </w:t>
      </w:r>
      <w:r w:rsidR="007F0869">
        <w:t>derrière</w:t>
      </w:r>
      <w:r w:rsidR="002C2747">
        <w:t xml:space="preserve"> les statistiques. Les auteurs ne montrent dans l’article que les résultats de leur analyse statistique, les données de base étant reléguées dans les documents annexes.  Il est vrai que d’autres chercheurs font encore plus </w:t>
      </w:r>
      <w:proofErr w:type="gramStart"/>
      <w:r w:rsidR="002C2747">
        <w:t>fort</w:t>
      </w:r>
      <w:proofErr w:type="gramEnd"/>
      <w:r w:rsidR="002C2747">
        <w:t xml:space="preserve"> : dans un article récent sur l’effet des </w:t>
      </w:r>
      <w:proofErr w:type="spellStart"/>
      <w:r w:rsidR="002C2747">
        <w:t>néonicotinoïdes</w:t>
      </w:r>
      <w:proofErr w:type="spellEnd"/>
      <w:r w:rsidR="002C2747">
        <w:t xml:space="preserve"> sur les abeilles</w:t>
      </w:r>
      <w:r w:rsidR="007F0869">
        <w:rPr>
          <w:rStyle w:val="Appelnotedebasdep"/>
        </w:rPr>
        <w:footnoteReference w:id="4"/>
      </w:r>
      <w:r w:rsidR="002C2747">
        <w:t xml:space="preserve">, </w:t>
      </w:r>
      <w:r w:rsidR="00D27B2F">
        <w:t xml:space="preserve">les auteurs réussissent carrément à disserter sur 3 pages sur des surmortalités d’abeilles calculées par des redressements fort complexes…sans jamais </w:t>
      </w:r>
      <w:r w:rsidR="00CB1BED">
        <w:t>publier</w:t>
      </w:r>
      <w:r w:rsidR="00D27B2F">
        <w:t xml:space="preserve"> les chiffres de mortalité bruts !</w:t>
      </w:r>
    </w:p>
    <w:p w:rsidR="00993C18" w:rsidRDefault="00CB1BED" w:rsidP="00993C18">
      <w:pPr>
        <w:jc w:val="both"/>
      </w:pPr>
      <w:r>
        <w:t xml:space="preserve">Autre tendance révélatrice : la complexité de la méthode statistique employée </w:t>
      </w:r>
      <w:r w:rsidR="002D0F8F">
        <w:t>occult</w:t>
      </w:r>
      <w:r>
        <w:t xml:space="preserve">e toute réflexion sur la crédibilité des résultats obtenus. </w:t>
      </w:r>
      <w:r w:rsidR="002D0F8F">
        <w:t>Passons sur le fait que la régression WQS n’aurait jamais dû être employé</w:t>
      </w:r>
      <w:r w:rsidR="00BA0803">
        <w:t>e</w:t>
      </w:r>
      <w:r w:rsidR="002D0F8F">
        <w:t xml:space="preserve"> sur ce jeu de données. Même si on acceptait la validité de cette méthode, il devrait être clair que les coefficients </w:t>
      </w:r>
      <w:r w:rsidR="00382FB9">
        <w:t>calculés</w:t>
      </w:r>
      <w:r w:rsidR="002D0F8F">
        <w:t xml:space="preserve"> n’ont aucun sens sur le plan toxicologique, puisque tous les produits ont des </w:t>
      </w:r>
      <w:r w:rsidR="00EC13ED">
        <w:t>résultats contradictoires selon les sites d’expérimentation</w:t>
      </w:r>
      <w:r w:rsidR="002D0F8F">
        <w:t>. Cette question n’est même pas abordée dans la discussion des résultats.</w:t>
      </w:r>
      <w:r w:rsidR="00D70A3A">
        <w:t xml:space="preserve"> Du moment que les WQS Index ont une liaison significative ou hautement significative, peu importe que ces r</w:t>
      </w:r>
      <w:r w:rsidR="002D794E">
        <w:t>ésultats puissent avoir ou non une signification dans le monde réel : c’est digne d’être publié.</w:t>
      </w:r>
    </w:p>
    <w:p w:rsidR="002D794E" w:rsidRDefault="002D794E" w:rsidP="00993C18">
      <w:pPr>
        <w:jc w:val="both"/>
      </w:pPr>
      <w:r>
        <w:t>Ces tendances ne s’observent pas dans toutes les revues scientifiques</w:t>
      </w:r>
      <w:r w:rsidR="00801CC0">
        <w:t>, mais certaines s’illustrent particulièrement dans ce domaine</w:t>
      </w:r>
      <w:r>
        <w:t> : rappelons que cet article vient d’</w:t>
      </w:r>
      <w:proofErr w:type="spellStart"/>
      <w:r>
        <w:t>Environmental</w:t>
      </w:r>
      <w:proofErr w:type="spellEnd"/>
      <w:r>
        <w:t xml:space="preserve"> </w:t>
      </w:r>
      <w:proofErr w:type="spellStart"/>
      <w:r>
        <w:t>Health</w:t>
      </w:r>
      <w:proofErr w:type="spellEnd"/>
      <w:r>
        <w:t xml:space="preserve"> Perspectives</w:t>
      </w:r>
      <w:r w:rsidR="00F777F8">
        <w:t xml:space="preserve"> (EHP)</w:t>
      </w:r>
      <w:r>
        <w:t xml:space="preserve">, revue particulièrement ouverte à la créativité statistique. Nous l’avons déjà croisée </w:t>
      </w:r>
      <w:r w:rsidR="00801CC0">
        <w:t>à propos des effets supposés des organophosphorés sur le système nerveux, avec deux articles qui faisaient tout le sel d’une récente étude du CNRS sur le coût caché des perturbateurs endocriniens</w:t>
      </w:r>
      <w:r w:rsidR="00EB1A44">
        <w:rPr>
          <w:rStyle w:val="Appelnotedebasdep"/>
        </w:rPr>
        <w:footnoteReference w:id="5"/>
      </w:r>
      <w:r w:rsidR="00801CC0">
        <w:t> :</w:t>
      </w:r>
    </w:p>
    <w:p w:rsidR="00801CC0" w:rsidRDefault="00801CC0" w:rsidP="00801CC0">
      <w:pPr>
        <w:pStyle w:val="Paragraphedeliste"/>
        <w:numPr>
          <w:ilvl w:val="0"/>
          <w:numId w:val="4"/>
        </w:numPr>
        <w:jc w:val="both"/>
      </w:pPr>
      <w:r>
        <w:t>L’une</w:t>
      </w:r>
      <w:r w:rsidR="00EB1A44">
        <w:rPr>
          <w:rStyle w:val="Appelnotedebasdep"/>
        </w:rPr>
        <w:footnoteReference w:id="6"/>
      </w:r>
      <w:r>
        <w:t>, qui démontrait que l’exposition prénatale aux organophosphorés faisait chuter le QI de 5 points…par rapport à une population témoin au QI de 107</w:t>
      </w:r>
    </w:p>
    <w:p w:rsidR="00801CC0" w:rsidRDefault="00801CC0" w:rsidP="00801CC0">
      <w:pPr>
        <w:pStyle w:val="Paragraphedeliste"/>
        <w:numPr>
          <w:ilvl w:val="0"/>
          <w:numId w:val="4"/>
        </w:numPr>
        <w:jc w:val="both"/>
      </w:pPr>
      <w:r>
        <w:t>L’autre</w:t>
      </w:r>
      <w:r w:rsidR="00EB1A44">
        <w:rPr>
          <w:rStyle w:val="Appelnotedebasdep"/>
        </w:rPr>
        <w:footnoteReference w:id="7"/>
      </w:r>
      <w:r>
        <w:t xml:space="preserve">, qui après moult redressements statistiques en fonction de l’origine ethnique, </w:t>
      </w:r>
      <w:r w:rsidR="00943E4D">
        <w:t>arrivait à la conclusion que ces mêmes organophosphorés faisaient chuter le QI des enfants noirs ou hispaniques…mais aussi augmenter celui des enfants blancs !</w:t>
      </w:r>
    </w:p>
    <w:p w:rsidR="00DC25A5" w:rsidRDefault="00DC25A5" w:rsidP="00DC25A5">
      <w:pPr>
        <w:pStyle w:val="Paragraphedeliste"/>
        <w:numPr>
          <w:ilvl w:val="0"/>
          <w:numId w:val="4"/>
        </w:numPr>
        <w:jc w:val="both"/>
      </w:pPr>
      <w:r>
        <w:t xml:space="preserve">De tels résultats feraient simplement sourire… s’ils ne sortaient que dans des revues obscures. Mais nous avons vu qu’EHP a un impact factor tout-à-fait honorable, qui leur assure un nombre considérable de citations dans d’autres articles par la suite… et leur reprise ultérieure dans des méta-analyses comme celle du CNRS </w:t>
      </w:r>
      <w:proofErr w:type="spellStart"/>
      <w:r>
        <w:t>déja</w:t>
      </w:r>
      <w:proofErr w:type="spellEnd"/>
      <w:r>
        <w:t xml:space="preserve"> citée, qui assureront définitivement le blanchiment de toutes leurs approximations statistiques.</w:t>
      </w:r>
    </w:p>
    <w:sectPr w:rsidR="00DC25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CB" w:rsidRDefault="001546CB" w:rsidP="007A6C35">
      <w:pPr>
        <w:spacing w:after="0" w:line="240" w:lineRule="auto"/>
      </w:pPr>
      <w:r>
        <w:separator/>
      </w:r>
    </w:p>
  </w:endnote>
  <w:endnote w:type="continuationSeparator" w:id="0">
    <w:p w:rsidR="001546CB" w:rsidRDefault="001546CB" w:rsidP="007A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f-meta-web-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CB" w:rsidRDefault="001546CB" w:rsidP="007A6C35">
      <w:pPr>
        <w:spacing w:after="0" w:line="240" w:lineRule="auto"/>
      </w:pPr>
      <w:r>
        <w:separator/>
      </w:r>
    </w:p>
  </w:footnote>
  <w:footnote w:type="continuationSeparator" w:id="0">
    <w:p w:rsidR="001546CB" w:rsidRDefault="001546CB" w:rsidP="007A6C35">
      <w:pPr>
        <w:spacing w:after="0" w:line="240" w:lineRule="auto"/>
      </w:pPr>
      <w:r>
        <w:continuationSeparator/>
      </w:r>
    </w:p>
  </w:footnote>
  <w:footnote w:id="1">
    <w:p w:rsidR="00DF0FC8" w:rsidRDefault="00DF0FC8">
      <w:pPr>
        <w:pStyle w:val="Notedebasdepage"/>
        <w:rPr>
          <w:rFonts w:ascii="ff-meta-web-pro" w:hAnsi="ff-meta-web-pro"/>
          <w:color w:val="000000"/>
          <w:lang w:val="en-US"/>
        </w:rPr>
      </w:pPr>
      <w:r>
        <w:rPr>
          <w:rStyle w:val="Appelnotedebasdep"/>
        </w:rPr>
        <w:footnoteRef/>
      </w:r>
      <w:r>
        <w:t xml:space="preserve"> </w:t>
      </w:r>
      <w:proofErr w:type="spellStart"/>
      <w:r w:rsidR="00BA0803">
        <w:rPr>
          <w:rFonts w:ascii="ff-meta-web-pro" w:hAnsi="ff-meta-web-pro"/>
          <w:color w:val="000000"/>
          <w:lang w:val="en-US"/>
        </w:rPr>
        <w:t>Czarnota</w:t>
      </w:r>
      <w:proofErr w:type="spellEnd"/>
      <w:r w:rsidR="00BA0803">
        <w:rPr>
          <w:rFonts w:ascii="ff-meta-web-pro" w:hAnsi="ff-meta-web-pro"/>
          <w:color w:val="000000"/>
          <w:lang w:val="en-US"/>
        </w:rPr>
        <w:t xml:space="preserve"> J, </w:t>
      </w:r>
      <w:proofErr w:type="spellStart"/>
      <w:r w:rsidR="00BA0803">
        <w:rPr>
          <w:rFonts w:ascii="ff-meta-web-pro" w:hAnsi="ff-meta-web-pro"/>
          <w:color w:val="000000"/>
          <w:lang w:val="en-US"/>
        </w:rPr>
        <w:t>Gennings</w:t>
      </w:r>
      <w:proofErr w:type="spellEnd"/>
      <w:r w:rsidR="00BA0803">
        <w:rPr>
          <w:rFonts w:ascii="ff-meta-web-pro" w:hAnsi="ff-meta-web-pro"/>
          <w:color w:val="000000"/>
          <w:lang w:val="en-US"/>
        </w:rPr>
        <w:t xml:space="preserve"> C, Colt JS, De </w:t>
      </w:r>
      <w:proofErr w:type="spellStart"/>
      <w:r w:rsidR="00BA0803">
        <w:rPr>
          <w:rFonts w:ascii="ff-meta-web-pro" w:hAnsi="ff-meta-web-pro"/>
          <w:color w:val="000000"/>
          <w:lang w:val="en-US"/>
        </w:rPr>
        <w:t>Roos</w:t>
      </w:r>
      <w:proofErr w:type="spellEnd"/>
      <w:r w:rsidR="00BA0803">
        <w:rPr>
          <w:rFonts w:ascii="ff-meta-web-pro" w:hAnsi="ff-meta-web-pro"/>
          <w:color w:val="000000"/>
          <w:lang w:val="en-US"/>
        </w:rPr>
        <w:t xml:space="preserve"> AJ, </w:t>
      </w:r>
      <w:proofErr w:type="spellStart"/>
      <w:r w:rsidR="00BA0803">
        <w:rPr>
          <w:rFonts w:ascii="ff-meta-web-pro" w:hAnsi="ff-meta-web-pro"/>
          <w:color w:val="000000"/>
          <w:lang w:val="en-US"/>
        </w:rPr>
        <w:t>Cerhan</w:t>
      </w:r>
      <w:proofErr w:type="spellEnd"/>
      <w:r w:rsidR="00BA0803">
        <w:rPr>
          <w:rFonts w:ascii="ff-meta-web-pro" w:hAnsi="ff-meta-web-pro"/>
          <w:color w:val="000000"/>
          <w:lang w:val="en-US"/>
        </w:rPr>
        <w:t xml:space="preserve"> JR, Severson RK, </w:t>
      </w:r>
      <w:proofErr w:type="spellStart"/>
      <w:r w:rsidR="00BA0803">
        <w:rPr>
          <w:rFonts w:ascii="ff-meta-web-pro" w:hAnsi="ff-meta-web-pro"/>
          <w:color w:val="000000"/>
          <w:lang w:val="en-US"/>
        </w:rPr>
        <w:t>Hartge</w:t>
      </w:r>
      <w:proofErr w:type="spellEnd"/>
      <w:r w:rsidR="00BA0803">
        <w:rPr>
          <w:rFonts w:ascii="ff-meta-web-pro" w:hAnsi="ff-meta-web-pro"/>
          <w:color w:val="000000"/>
          <w:lang w:val="en-US"/>
        </w:rPr>
        <w:t xml:space="preserve"> P, Ward MH, Wheeler DC. 2015. Analysis of environmental chemical mixtures and non-Hodgkin lymphoma risk in the NCI-SEER NHL Study. Environ Health </w:t>
      </w:r>
      <w:proofErr w:type="spellStart"/>
      <w:r w:rsidR="00BA0803">
        <w:rPr>
          <w:rFonts w:ascii="ff-meta-web-pro" w:hAnsi="ff-meta-web-pro"/>
          <w:color w:val="000000"/>
          <w:lang w:val="en-US"/>
        </w:rPr>
        <w:t>Perspect</w:t>
      </w:r>
      <w:proofErr w:type="spellEnd"/>
      <w:r w:rsidR="00BA0803">
        <w:rPr>
          <w:rFonts w:ascii="ff-meta-web-pro" w:hAnsi="ff-meta-web-pro"/>
          <w:color w:val="000000"/>
          <w:lang w:val="en-US"/>
        </w:rPr>
        <w:t xml:space="preserve"> 123:965–970</w:t>
      </w:r>
    </w:p>
    <w:p w:rsidR="00BA0803" w:rsidRPr="00BA0803" w:rsidRDefault="001546CB">
      <w:pPr>
        <w:pStyle w:val="Notedebasdepage"/>
      </w:pPr>
      <w:hyperlink r:id="rId1" w:anchor="tab1" w:history="1">
        <w:r w:rsidR="00BA0803" w:rsidRPr="006B7DF6">
          <w:rPr>
            <w:rStyle w:val="Lienhypertexte"/>
          </w:rPr>
          <w:t>http://ehp.niehs.nih.gov/1408630/#tab1</w:t>
        </w:r>
      </w:hyperlink>
      <w:r w:rsidR="00BA0803">
        <w:t xml:space="preserve"> </w:t>
      </w:r>
    </w:p>
    <w:p w:rsidR="00DF0FC8" w:rsidRDefault="00DF0FC8">
      <w:pPr>
        <w:pStyle w:val="Notedebasdepage"/>
      </w:pPr>
      <w:r>
        <w:t>Ne pas oublier de t</w:t>
      </w:r>
      <w:r w:rsidR="00BA0803">
        <w:t xml:space="preserve">élécharger aussi le </w:t>
      </w:r>
      <w:proofErr w:type="spellStart"/>
      <w:r w:rsidR="00BA0803">
        <w:t>Supplemental</w:t>
      </w:r>
      <w:proofErr w:type="spellEnd"/>
      <w:r w:rsidR="00BA0803">
        <w:t xml:space="preserve"> </w:t>
      </w:r>
      <w:proofErr w:type="spellStart"/>
      <w:r w:rsidR="00BA0803">
        <w:t>Material</w:t>
      </w:r>
      <w:proofErr w:type="spellEnd"/>
      <w:r>
        <w:t> :</w:t>
      </w:r>
    </w:p>
    <w:p w:rsidR="00DF0FC8" w:rsidRDefault="001546CB">
      <w:pPr>
        <w:pStyle w:val="Notedebasdepage"/>
      </w:pPr>
      <w:hyperlink r:id="rId2" w:anchor="tab3" w:history="1">
        <w:r w:rsidR="00BA0803" w:rsidRPr="006B7DF6">
          <w:rPr>
            <w:rStyle w:val="Lienhypertexte"/>
          </w:rPr>
          <w:t>http://ehp.niehs.nih.gov/1408630/#tab3</w:t>
        </w:r>
      </w:hyperlink>
      <w:r w:rsidR="00BA0803">
        <w:t xml:space="preserve"> </w:t>
      </w:r>
    </w:p>
    <w:p w:rsidR="00DF0FC8" w:rsidRDefault="00DF0FC8">
      <w:pPr>
        <w:pStyle w:val="Notedebasdepage"/>
      </w:pPr>
      <w:r>
        <w:t>C’est là q</w:t>
      </w:r>
      <w:r w:rsidR="004A32E2">
        <w:t>u</w:t>
      </w:r>
      <w:r>
        <w:t>e figurent tous les éléments vraiment importants</w:t>
      </w:r>
      <w:r w:rsidR="004A32E2">
        <w:t>… et distrayants !</w:t>
      </w:r>
    </w:p>
  </w:footnote>
  <w:footnote w:id="2">
    <w:p w:rsidR="007A6C35" w:rsidRDefault="007A6C35" w:rsidP="007A6C35">
      <w:pPr>
        <w:pStyle w:val="Notedebasdepage"/>
      </w:pPr>
      <w:r>
        <w:rPr>
          <w:rStyle w:val="Appelnotedebasdep"/>
        </w:rPr>
        <w:footnoteRef/>
      </w:r>
      <w:r>
        <w:t xml:space="preserve"> Colt JS, </w:t>
      </w:r>
      <w:proofErr w:type="spellStart"/>
      <w:r>
        <w:t>Severson</w:t>
      </w:r>
      <w:proofErr w:type="spellEnd"/>
      <w:r>
        <w:t xml:space="preserve"> RK, Lubin J, </w:t>
      </w:r>
      <w:proofErr w:type="spellStart"/>
      <w:r>
        <w:t>Rothman</w:t>
      </w:r>
      <w:proofErr w:type="spellEnd"/>
      <w:r>
        <w:t xml:space="preserve"> N, </w:t>
      </w:r>
      <w:proofErr w:type="spellStart"/>
      <w:r>
        <w:t>Camann</w:t>
      </w:r>
      <w:proofErr w:type="spellEnd"/>
      <w:r>
        <w:t xml:space="preserve"> D, Davis S, et al. 2005. </w:t>
      </w:r>
      <w:proofErr w:type="spellStart"/>
      <w:r>
        <w:t>Organochlorines</w:t>
      </w:r>
      <w:proofErr w:type="spellEnd"/>
      <w:r>
        <w:t xml:space="preserve"> in </w:t>
      </w:r>
      <w:proofErr w:type="spellStart"/>
      <w:r>
        <w:t>carpet</w:t>
      </w:r>
      <w:proofErr w:type="spellEnd"/>
      <w:r>
        <w:t xml:space="preserve"> </w:t>
      </w:r>
      <w:proofErr w:type="spellStart"/>
      <w:r>
        <w:t>dust</w:t>
      </w:r>
      <w:proofErr w:type="spellEnd"/>
      <w:r>
        <w:t xml:space="preserve"> and non-Hodgkin </w:t>
      </w:r>
      <w:proofErr w:type="spellStart"/>
      <w:r>
        <w:t>lymphoma</w:t>
      </w:r>
      <w:proofErr w:type="spellEnd"/>
      <w:r>
        <w:t xml:space="preserve">. </w:t>
      </w:r>
      <w:proofErr w:type="spellStart"/>
      <w:r>
        <w:t>Epidemiology</w:t>
      </w:r>
      <w:proofErr w:type="spellEnd"/>
      <w:r>
        <w:t xml:space="preserve"> 16(4):516–525.</w:t>
      </w:r>
    </w:p>
  </w:footnote>
  <w:footnote w:id="3">
    <w:p w:rsidR="00CF5BC3" w:rsidRDefault="00CF5BC3">
      <w:pPr>
        <w:pStyle w:val="Notedebasdepage"/>
      </w:pPr>
      <w:r>
        <w:rPr>
          <w:rStyle w:val="Appelnotedebasdep"/>
        </w:rPr>
        <w:footnoteRef/>
      </w:r>
      <w:r>
        <w:t xml:space="preserve"> </w:t>
      </w:r>
      <w:proofErr w:type="spellStart"/>
      <w:r w:rsidR="00B237A8" w:rsidRPr="00B237A8">
        <w:t>Carrico</w:t>
      </w:r>
      <w:proofErr w:type="spellEnd"/>
      <w:r w:rsidR="00B237A8" w:rsidRPr="00B237A8">
        <w:t xml:space="preserve"> C, </w:t>
      </w:r>
      <w:proofErr w:type="spellStart"/>
      <w:r w:rsidR="00B237A8" w:rsidRPr="00B237A8">
        <w:t>Gennings</w:t>
      </w:r>
      <w:proofErr w:type="spellEnd"/>
      <w:r w:rsidR="00B237A8" w:rsidRPr="00B237A8">
        <w:t xml:space="preserve"> C, Wheeler DC, Factor-</w:t>
      </w:r>
      <w:proofErr w:type="spellStart"/>
      <w:r w:rsidR="00B237A8" w:rsidRPr="00B237A8">
        <w:t>Litvak</w:t>
      </w:r>
      <w:proofErr w:type="spellEnd"/>
      <w:r w:rsidR="00B237A8" w:rsidRPr="00B237A8">
        <w:t xml:space="preserve"> P. 2014. </w:t>
      </w:r>
      <w:proofErr w:type="spellStart"/>
      <w:r w:rsidR="00B237A8" w:rsidRPr="00B237A8">
        <w:t>Characterization</w:t>
      </w:r>
      <w:proofErr w:type="spellEnd"/>
      <w:r w:rsidR="00B237A8" w:rsidRPr="00B237A8">
        <w:t xml:space="preserve"> of a </w:t>
      </w:r>
      <w:proofErr w:type="spellStart"/>
      <w:r w:rsidR="00B237A8" w:rsidRPr="00B237A8">
        <w:t>weighted</w:t>
      </w:r>
      <w:proofErr w:type="spellEnd"/>
      <w:r w:rsidR="00B237A8" w:rsidRPr="00B237A8">
        <w:t xml:space="preserve"> quantile </w:t>
      </w:r>
      <w:proofErr w:type="spellStart"/>
      <w:r w:rsidR="00B237A8" w:rsidRPr="00B237A8">
        <w:t>sum</w:t>
      </w:r>
      <w:proofErr w:type="spellEnd"/>
      <w:r w:rsidR="00B237A8" w:rsidRPr="00B237A8">
        <w:t xml:space="preserve"> </w:t>
      </w:r>
      <w:proofErr w:type="spellStart"/>
      <w:r w:rsidR="00B237A8" w:rsidRPr="00B237A8">
        <w:t>regression</w:t>
      </w:r>
      <w:proofErr w:type="spellEnd"/>
      <w:r w:rsidR="00B237A8" w:rsidRPr="00B237A8">
        <w:t xml:space="preserve"> for </w:t>
      </w:r>
      <w:proofErr w:type="spellStart"/>
      <w:r w:rsidR="00B237A8" w:rsidRPr="00B237A8">
        <w:t>highly</w:t>
      </w:r>
      <w:proofErr w:type="spellEnd"/>
      <w:r w:rsidR="00B237A8" w:rsidRPr="00B237A8">
        <w:t xml:space="preserve"> </w:t>
      </w:r>
      <w:proofErr w:type="spellStart"/>
      <w:r w:rsidR="00B237A8" w:rsidRPr="00B237A8">
        <w:t>correlated</w:t>
      </w:r>
      <w:proofErr w:type="spellEnd"/>
      <w:r w:rsidR="00B237A8" w:rsidRPr="00B237A8">
        <w:t xml:space="preserve"> data in a </w:t>
      </w:r>
      <w:proofErr w:type="spellStart"/>
      <w:r w:rsidR="00B237A8" w:rsidRPr="00B237A8">
        <w:t>risk</w:t>
      </w:r>
      <w:proofErr w:type="spellEnd"/>
      <w:r w:rsidR="00B237A8" w:rsidRPr="00B237A8">
        <w:t xml:space="preserve"> </w:t>
      </w:r>
      <w:proofErr w:type="spellStart"/>
      <w:r w:rsidR="00B237A8" w:rsidRPr="00B237A8">
        <w:t>analysis</w:t>
      </w:r>
      <w:proofErr w:type="spellEnd"/>
      <w:r w:rsidR="00B237A8" w:rsidRPr="00B237A8">
        <w:t xml:space="preserve"> set</w:t>
      </w:r>
      <w:r w:rsidR="00B237A8">
        <w:t xml:space="preserve">ting. J </w:t>
      </w:r>
      <w:proofErr w:type="spellStart"/>
      <w:r w:rsidR="00B237A8">
        <w:t>Agric</w:t>
      </w:r>
      <w:proofErr w:type="spellEnd"/>
      <w:r w:rsidR="00B237A8">
        <w:t xml:space="preserve"> </w:t>
      </w:r>
      <w:proofErr w:type="spellStart"/>
      <w:r w:rsidR="00B237A8">
        <w:t>Biol</w:t>
      </w:r>
      <w:proofErr w:type="spellEnd"/>
      <w:r w:rsidR="00B237A8">
        <w:t xml:space="preserve"> Environ Stat</w:t>
      </w:r>
    </w:p>
  </w:footnote>
  <w:footnote w:id="4">
    <w:p w:rsidR="007F0869" w:rsidRDefault="007F0869">
      <w:pPr>
        <w:pStyle w:val="Notedebasdepage"/>
      </w:pPr>
      <w:r>
        <w:rPr>
          <w:rStyle w:val="Appelnotedebasdep"/>
        </w:rPr>
        <w:footnoteRef/>
      </w:r>
      <w:r>
        <w:t xml:space="preserve"> </w:t>
      </w:r>
      <w:r w:rsidR="002877B5">
        <w:t xml:space="preserve"> </w:t>
      </w:r>
      <w:hyperlink r:id="rId3" w:history="1">
        <w:r w:rsidR="002877B5" w:rsidRPr="00215722">
          <w:rPr>
            <w:rStyle w:val="Lienhypertexte"/>
          </w:rPr>
          <w:t>http://rspb.royalsocietypublishing.org/content/282/1819/20152110</w:t>
        </w:r>
      </w:hyperlink>
    </w:p>
  </w:footnote>
  <w:footnote w:id="5">
    <w:p w:rsidR="00EB1A44" w:rsidRDefault="00EB1A44">
      <w:pPr>
        <w:pStyle w:val="Notedebasdepage"/>
      </w:pPr>
      <w:r>
        <w:rPr>
          <w:rStyle w:val="Appelnotedebasdep"/>
        </w:rPr>
        <w:footnoteRef/>
      </w:r>
      <w:r>
        <w:t xml:space="preserve"> </w:t>
      </w:r>
      <w:hyperlink r:id="rId4" w:history="1">
        <w:r w:rsidR="002877B5" w:rsidRPr="00215722">
          <w:rPr>
            <w:rStyle w:val="Lienhypertexte"/>
          </w:rPr>
          <w:t>http://press.endocrine.org/doi/full/10.1210/jc.2014-4323</w:t>
        </w:r>
      </w:hyperlink>
    </w:p>
  </w:footnote>
  <w:footnote w:id="6">
    <w:p w:rsidR="00EB1A44" w:rsidRDefault="00EB1A44">
      <w:pPr>
        <w:pStyle w:val="Notedebasdepage"/>
      </w:pPr>
      <w:r>
        <w:rPr>
          <w:rStyle w:val="Appelnotedebasdep"/>
        </w:rPr>
        <w:footnoteRef/>
      </w:r>
      <w:r>
        <w:t xml:space="preserve"> </w:t>
      </w:r>
      <w:r w:rsidR="002877B5" w:rsidRPr="003F5695">
        <w:t xml:space="preserve">Bouchard MF, Chevrier J, Harley KG, et al. (2011) : </w:t>
      </w:r>
      <w:proofErr w:type="spellStart"/>
      <w:r w:rsidR="002877B5" w:rsidRPr="003F5695">
        <w:t>Prenatal</w:t>
      </w:r>
      <w:proofErr w:type="spellEnd"/>
      <w:r w:rsidR="002877B5" w:rsidRPr="003F5695">
        <w:t xml:space="preserve"> </w:t>
      </w:r>
      <w:proofErr w:type="spellStart"/>
      <w:r w:rsidR="002877B5" w:rsidRPr="003F5695">
        <w:t>exposure</w:t>
      </w:r>
      <w:proofErr w:type="spellEnd"/>
      <w:r w:rsidR="002877B5" w:rsidRPr="003F5695">
        <w:t xml:space="preserve"> to </w:t>
      </w:r>
      <w:proofErr w:type="spellStart"/>
      <w:r w:rsidR="002877B5" w:rsidRPr="003F5695">
        <w:t>organophosphate</w:t>
      </w:r>
      <w:proofErr w:type="spellEnd"/>
      <w:r w:rsidR="002877B5" w:rsidRPr="003F5695">
        <w:t xml:space="preserve"> pesticides and IQ </w:t>
      </w:r>
      <w:proofErr w:type="spellStart"/>
      <w:r w:rsidR="002877B5" w:rsidRPr="003F5695">
        <w:t>in</w:t>
      </w:r>
      <w:proofErr w:type="spellEnd"/>
      <w:r w:rsidR="002877B5" w:rsidRPr="003F5695">
        <w:t xml:space="preserve"> 7-year-old </w:t>
      </w:r>
      <w:proofErr w:type="spellStart"/>
      <w:r w:rsidR="002877B5" w:rsidRPr="003F5695">
        <w:t>children</w:t>
      </w:r>
      <w:proofErr w:type="spellEnd"/>
      <w:r w:rsidR="002877B5" w:rsidRPr="003F5695">
        <w:t xml:space="preserve">. </w:t>
      </w:r>
      <w:proofErr w:type="spellStart"/>
      <w:r w:rsidR="002877B5" w:rsidRPr="003F5695">
        <w:t>EnvironHealth</w:t>
      </w:r>
      <w:proofErr w:type="spellEnd"/>
      <w:r w:rsidR="002877B5" w:rsidRPr="003F5695">
        <w:t xml:space="preserve"> </w:t>
      </w:r>
      <w:proofErr w:type="spellStart"/>
      <w:r w:rsidR="002877B5" w:rsidRPr="003F5695">
        <w:t>Perspect</w:t>
      </w:r>
      <w:proofErr w:type="spellEnd"/>
      <w:r w:rsidR="002877B5" w:rsidRPr="003F5695">
        <w:t>. (119) 1189–1195</w:t>
      </w:r>
    </w:p>
  </w:footnote>
  <w:footnote w:id="7">
    <w:p w:rsidR="00EB1A44" w:rsidRDefault="00EB1A44">
      <w:pPr>
        <w:pStyle w:val="Notedebasdepage"/>
      </w:pPr>
      <w:r>
        <w:rPr>
          <w:rStyle w:val="Appelnotedebasdep"/>
        </w:rPr>
        <w:footnoteRef/>
      </w:r>
      <w:r>
        <w:t xml:space="preserve"> </w:t>
      </w:r>
      <w:r w:rsidR="002877B5" w:rsidRPr="003F5695">
        <w:t xml:space="preserve">Engel SM, </w:t>
      </w:r>
      <w:proofErr w:type="spellStart"/>
      <w:r w:rsidR="002877B5" w:rsidRPr="003F5695">
        <w:t>Wetmur</w:t>
      </w:r>
      <w:proofErr w:type="spellEnd"/>
      <w:r w:rsidR="002877B5" w:rsidRPr="003F5695">
        <w:t xml:space="preserve"> J, Chen J, et </w:t>
      </w:r>
      <w:proofErr w:type="gramStart"/>
      <w:r w:rsidR="002877B5" w:rsidRPr="003F5695">
        <w:t>al.,</w:t>
      </w:r>
      <w:proofErr w:type="gramEnd"/>
      <w:r w:rsidR="002877B5" w:rsidRPr="003F5695">
        <w:t xml:space="preserve"> 2011 :  </w:t>
      </w:r>
      <w:proofErr w:type="spellStart"/>
      <w:r w:rsidR="002877B5" w:rsidRPr="003F5695">
        <w:t>Prenatal</w:t>
      </w:r>
      <w:proofErr w:type="spellEnd"/>
      <w:r w:rsidR="002877B5" w:rsidRPr="003F5695">
        <w:t xml:space="preserve"> </w:t>
      </w:r>
      <w:proofErr w:type="spellStart"/>
      <w:r w:rsidR="002877B5" w:rsidRPr="003F5695">
        <w:t>exposure</w:t>
      </w:r>
      <w:proofErr w:type="spellEnd"/>
      <w:r w:rsidR="002877B5" w:rsidRPr="003F5695">
        <w:t xml:space="preserve"> to </w:t>
      </w:r>
      <w:proofErr w:type="spellStart"/>
      <w:r w:rsidR="002877B5" w:rsidRPr="003F5695">
        <w:t>organophosphates</w:t>
      </w:r>
      <w:proofErr w:type="spellEnd"/>
      <w:r w:rsidR="002877B5" w:rsidRPr="003F5695">
        <w:t xml:space="preserve">, </w:t>
      </w:r>
      <w:proofErr w:type="spellStart"/>
      <w:r w:rsidR="002877B5" w:rsidRPr="003F5695">
        <w:t>paraoxonase</w:t>
      </w:r>
      <w:proofErr w:type="spellEnd"/>
      <w:r w:rsidR="002877B5" w:rsidRPr="003F5695">
        <w:t xml:space="preserve"> 1, and cognitive </w:t>
      </w:r>
      <w:proofErr w:type="spellStart"/>
      <w:r w:rsidR="002877B5" w:rsidRPr="003F5695">
        <w:t>development</w:t>
      </w:r>
      <w:proofErr w:type="spellEnd"/>
      <w:r w:rsidR="002877B5" w:rsidRPr="003F5695">
        <w:t xml:space="preserve"> in </w:t>
      </w:r>
      <w:proofErr w:type="spellStart"/>
      <w:r w:rsidR="002877B5" w:rsidRPr="003F5695">
        <w:t>childhood.Environ</w:t>
      </w:r>
      <w:proofErr w:type="spellEnd"/>
      <w:r w:rsidR="002877B5" w:rsidRPr="003F5695">
        <w:t xml:space="preserve"> </w:t>
      </w:r>
      <w:proofErr w:type="spellStart"/>
      <w:r w:rsidR="002877B5" w:rsidRPr="003F5695">
        <w:t>Health</w:t>
      </w:r>
      <w:proofErr w:type="spellEnd"/>
      <w:r w:rsidR="002877B5" w:rsidRPr="003F5695">
        <w:t xml:space="preserve"> </w:t>
      </w:r>
      <w:proofErr w:type="spellStart"/>
      <w:r w:rsidR="002877B5" w:rsidRPr="003F5695">
        <w:t>Perspect</w:t>
      </w:r>
      <w:proofErr w:type="spellEnd"/>
      <w:r w:rsidR="002877B5" w:rsidRPr="003F5695">
        <w:t>. (119) 1182–1188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B9C"/>
    <w:multiLevelType w:val="hybridMultilevel"/>
    <w:tmpl w:val="E5A81FF2"/>
    <w:lvl w:ilvl="0" w:tplc="BC823B40">
      <w:numFmt w:val="bullet"/>
      <w:lvlText w:val="-"/>
      <w:lvlJc w:val="left"/>
      <w:pPr>
        <w:ind w:left="770" w:hanging="360"/>
      </w:pPr>
      <w:rPr>
        <w:rFonts w:ascii="Calibri" w:eastAsiaTheme="minorHAnsi" w:hAnsi="Calibri" w:cstheme="min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301976AE"/>
    <w:multiLevelType w:val="hybridMultilevel"/>
    <w:tmpl w:val="80941110"/>
    <w:lvl w:ilvl="0" w:tplc="BC823B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542C7E"/>
    <w:multiLevelType w:val="hybridMultilevel"/>
    <w:tmpl w:val="3436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F37A0E"/>
    <w:multiLevelType w:val="hybridMultilevel"/>
    <w:tmpl w:val="A1665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23"/>
    <w:rsid w:val="00085D97"/>
    <w:rsid w:val="000A4DDF"/>
    <w:rsid w:val="000B3B19"/>
    <w:rsid w:val="000C6E29"/>
    <w:rsid w:val="000D5D62"/>
    <w:rsid w:val="000F3644"/>
    <w:rsid w:val="00100E1D"/>
    <w:rsid w:val="001049F9"/>
    <w:rsid w:val="001305B9"/>
    <w:rsid w:val="001345EF"/>
    <w:rsid w:val="001546CB"/>
    <w:rsid w:val="001859B9"/>
    <w:rsid w:val="001A35A4"/>
    <w:rsid w:val="001A6060"/>
    <w:rsid w:val="001A7221"/>
    <w:rsid w:val="001B3672"/>
    <w:rsid w:val="001C7427"/>
    <w:rsid w:val="001E7D25"/>
    <w:rsid w:val="00207B14"/>
    <w:rsid w:val="00215458"/>
    <w:rsid w:val="00275272"/>
    <w:rsid w:val="002877B5"/>
    <w:rsid w:val="002A7B7C"/>
    <w:rsid w:val="002B574C"/>
    <w:rsid w:val="002C2747"/>
    <w:rsid w:val="002D0F8F"/>
    <w:rsid w:val="002D794E"/>
    <w:rsid w:val="002F5B00"/>
    <w:rsid w:val="003140AA"/>
    <w:rsid w:val="003269CB"/>
    <w:rsid w:val="00327227"/>
    <w:rsid w:val="00382FB9"/>
    <w:rsid w:val="00390DCC"/>
    <w:rsid w:val="003A30E4"/>
    <w:rsid w:val="003B6346"/>
    <w:rsid w:val="003B7458"/>
    <w:rsid w:val="004100C6"/>
    <w:rsid w:val="004339A9"/>
    <w:rsid w:val="004352D0"/>
    <w:rsid w:val="00460501"/>
    <w:rsid w:val="00483D22"/>
    <w:rsid w:val="004A32E2"/>
    <w:rsid w:val="004E1EF5"/>
    <w:rsid w:val="004E2D52"/>
    <w:rsid w:val="004F2C70"/>
    <w:rsid w:val="005506FC"/>
    <w:rsid w:val="00573C23"/>
    <w:rsid w:val="00594E09"/>
    <w:rsid w:val="005C306F"/>
    <w:rsid w:val="006217BC"/>
    <w:rsid w:val="00631379"/>
    <w:rsid w:val="00643575"/>
    <w:rsid w:val="006602BB"/>
    <w:rsid w:val="006941D0"/>
    <w:rsid w:val="006B565E"/>
    <w:rsid w:val="006E4CB7"/>
    <w:rsid w:val="00703B4C"/>
    <w:rsid w:val="00705D47"/>
    <w:rsid w:val="007210A3"/>
    <w:rsid w:val="00723DAA"/>
    <w:rsid w:val="0073161C"/>
    <w:rsid w:val="0074523C"/>
    <w:rsid w:val="0075054D"/>
    <w:rsid w:val="007708BA"/>
    <w:rsid w:val="00784A1B"/>
    <w:rsid w:val="007953C7"/>
    <w:rsid w:val="00795B92"/>
    <w:rsid w:val="007A6C35"/>
    <w:rsid w:val="007A720F"/>
    <w:rsid w:val="007C5205"/>
    <w:rsid w:val="007E6C2D"/>
    <w:rsid w:val="007F0869"/>
    <w:rsid w:val="00801CC0"/>
    <w:rsid w:val="008066F5"/>
    <w:rsid w:val="00815922"/>
    <w:rsid w:val="008313D3"/>
    <w:rsid w:val="0083558B"/>
    <w:rsid w:val="00846B86"/>
    <w:rsid w:val="008622C6"/>
    <w:rsid w:val="00864692"/>
    <w:rsid w:val="008C1F4F"/>
    <w:rsid w:val="008D0AB0"/>
    <w:rsid w:val="008E38F2"/>
    <w:rsid w:val="00901AC3"/>
    <w:rsid w:val="00913B6A"/>
    <w:rsid w:val="00916C45"/>
    <w:rsid w:val="0092047B"/>
    <w:rsid w:val="00943E4D"/>
    <w:rsid w:val="0097511B"/>
    <w:rsid w:val="00981676"/>
    <w:rsid w:val="00993C18"/>
    <w:rsid w:val="009B20AB"/>
    <w:rsid w:val="009B2371"/>
    <w:rsid w:val="009C77D2"/>
    <w:rsid w:val="009D783F"/>
    <w:rsid w:val="009E1044"/>
    <w:rsid w:val="00A03DE1"/>
    <w:rsid w:val="00A15187"/>
    <w:rsid w:val="00A33D65"/>
    <w:rsid w:val="00A44322"/>
    <w:rsid w:val="00A55561"/>
    <w:rsid w:val="00A66CBD"/>
    <w:rsid w:val="00A82896"/>
    <w:rsid w:val="00AA382D"/>
    <w:rsid w:val="00AF1BBB"/>
    <w:rsid w:val="00B00D38"/>
    <w:rsid w:val="00B03F50"/>
    <w:rsid w:val="00B15596"/>
    <w:rsid w:val="00B2007D"/>
    <w:rsid w:val="00B21F79"/>
    <w:rsid w:val="00B237A8"/>
    <w:rsid w:val="00B51633"/>
    <w:rsid w:val="00B538D8"/>
    <w:rsid w:val="00B6521E"/>
    <w:rsid w:val="00BA0803"/>
    <w:rsid w:val="00BA4581"/>
    <w:rsid w:val="00BA6021"/>
    <w:rsid w:val="00BF3404"/>
    <w:rsid w:val="00C50DA3"/>
    <w:rsid w:val="00C57DCE"/>
    <w:rsid w:val="00C63DAF"/>
    <w:rsid w:val="00C67845"/>
    <w:rsid w:val="00CA04F4"/>
    <w:rsid w:val="00CB1BED"/>
    <w:rsid w:val="00CD53E4"/>
    <w:rsid w:val="00CF5BC3"/>
    <w:rsid w:val="00D0305E"/>
    <w:rsid w:val="00D1098F"/>
    <w:rsid w:val="00D177E2"/>
    <w:rsid w:val="00D27B2F"/>
    <w:rsid w:val="00D455BB"/>
    <w:rsid w:val="00D4619A"/>
    <w:rsid w:val="00D70A3A"/>
    <w:rsid w:val="00D80CE3"/>
    <w:rsid w:val="00D92CDE"/>
    <w:rsid w:val="00D9696D"/>
    <w:rsid w:val="00DA10CC"/>
    <w:rsid w:val="00DC0DE8"/>
    <w:rsid w:val="00DC0E08"/>
    <w:rsid w:val="00DC25A5"/>
    <w:rsid w:val="00DD04AA"/>
    <w:rsid w:val="00DD6F1E"/>
    <w:rsid w:val="00DE1DFB"/>
    <w:rsid w:val="00DF0FC8"/>
    <w:rsid w:val="00DF4875"/>
    <w:rsid w:val="00E625EC"/>
    <w:rsid w:val="00E84133"/>
    <w:rsid w:val="00E9628A"/>
    <w:rsid w:val="00EA5CC8"/>
    <w:rsid w:val="00EB1A44"/>
    <w:rsid w:val="00EC13ED"/>
    <w:rsid w:val="00EC57FB"/>
    <w:rsid w:val="00ED6134"/>
    <w:rsid w:val="00ED7DE3"/>
    <w:rsid w:val="00F0361B"/>
    <w:rsid w:val="00F52BEF"/>
    <w:rsid w:val="00F54E9A"/>
    <w:rsid w:val="00F777F8"/>
    <w:rsid w:val="00F83772"/>
    <w:rsid w:val="00F85289"/>
    <w:rsid w:val="00FA3CD7"/>
    <w:rsid w:val="00FA4F10"/>
    <w:rsid w:val="00FC2E29"/>
    <w:rsid w:val="00FE0BD9"/>
    <w:rsid w:val="00FE4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AC3"/>
    <w:pPr>
      <w:ind w:left="720"/>
      <w:contextualSpacing/>
    </w:pPr>
  </w:style>
  <w:style w:type="paragraph" w:styleId="Notedebasdepage">
    <w:name w:val="footnote text"/>
    <w:basedOn w:val="Normal"/>
    <w:link w:val="NotedebasdepageCar"/>
    <w:uiPriority w:val="99"/>
    <w:semiHidden/>
    <w:unhideWhenUsed/>
    <w:rsid w:val="007A6C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6C35"/>
    <w:rPr>
      <w:sz w:val="20"/>
      <w:szCs w:val="20"/>
    </w:rPr>
  </w:style>
  <w:style w:type="character" w:styleId="Appelnotedebasdep">
    <w:name w:val="footnote reference"/>
    <w:basedOn w:val="Policepardfaut"/>
    <w:uiPriority w:val="99"/>
    <w:semiHidden/>
    <w:unhideWhenUsed/>
    <w:rsid w:val="007A6C35"/>
    <w:rPr>
      <w:vertAlign w:val="superscript"/>
    </w:rPr>
  </w:style>
  <w:style w:type="paragraph" w:styleId="Textedebulles">
    <w:name w:val="Balloon Text"/>
    <w:basedOn w:val="Normal"/>
    <w:link w:val="TextedebullesCar"/>
    <w:uiPriority w:val="99"/>
    <w:semiHidden/>
    <w:unhideWhenUsed/>
    <w:rsid w:val="00D455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5BB"/>
    <w:rPr>
      <w:rFonts w:ascii="Tahoma" w:hAnsi="Tahoma" w:cs="Tahoma"/>
      <w:sz w:val="16"/>
      <w:szCs w:val="16"/>
    </w:rPr>
  </w:style>
  <w:style w:type="character" w:styleId="Lienhypertexte">
    <w:name w:val="Hyperlink"/>
    <w:basedOn w:val="Policepardfaut"/>
    <w:uiPriority w:val="99"/>
    <w:unhideWhenUsed/>
    <w:rsid w:val="00215458"/>
    <w:rPr>
      <w:color w:val="0000FF" w:themeColor="hyperlink"/>
      <w:u w:val="single"/>
    </w:rPr>
  </w:style>
  <w:style w:type="character" w:styleId="Lienhypertextesuivivisit">
    <w:name w:val="FollowedHyperlink"/>
    <w:basedOn w:val="Policepardfaut"/>
    <w:uiPriority w:val="99"/>
    <w:semiHidden/>
    <w:unhideWhenUsed/>
    <w:rsid w:val="002154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AC3"/>
    <w:pPr>
      <w:ind w:left="720"/>
      <w:contextualSpacing/>
    </w:pPr>
  </w:style>
  <w:style w:type="paragraph" w:styleId="Notedebasdepage">
    <w:name w:val="footnote text"/>
    <w:basedOn w:val="Normal"/>
    <w:link w:val="NotedebasdepageCar"/>
    <w:uiPriority w:val="99"/>
    <w:semiHidden/>
    <w:unhideWhenUsed/>
    <w:rsid w:val="007A6C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6C35"/>
    <w:rPr>
      <w:sz w:val="20"/>
      <w:szCs w:val="20"/>
    </w:rPr>
  </w:style>
  <w:style w:type="character" w:styleId="Appelnotedebasdep">
    <w:name w:val="footnote reference"/>
    <w:basedOn w:val="Policepardfaut"/>
    <w:uiPriority w:val="99"/>
    <w:semiHidden/>
    <w:unhideWhenUsed/>
    <w:rsid w:val="007A6C35"/>
    <w:rPr>
      <w:vertAlign w:val="superscript"/>
    </w:rPr>
  </w:style>
  <w:style w:type="paragraph" w:styleId="Textedebulles">
    <w:name w:val="Balloon Text"/>
    <w:basedOn w:val="Normal"/>
    <w:link w:val="TextedebullesCar"/>
    <w:uiPriority w:val="99"/>
    <w:semiHidden/>
    <w:unhideWhenUsed/>
    <w:rsid w:val="00D455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5BB"/>
    <w:rPr>
      <w:rFonts w:ascii="Tahoma" w:hAnsi="Tahoma" w:cs="Tahoma"/>
      <w:sz w:val="16"/>
      <w:szCs w:val="16"/>
    </w:rPr>
  </w:style>
  <w:style w:type="character" w:styleId="Lienhypertexte">
    <w:name w:val="Hyperlink"/>
    <w:basedOn w:val="Policepardfaut"/>
    <w:uiPriority w:val="99"/>
    <w:unhideWhenUsed/>
    <w:rsid w:val="00215458"/>
    <w:rPr>
      <w:color w:val="0000FF" w:themeColor="hyperlink"/>
      <w:u w:val="single"/>
    </w:rPr>
  </w:style>
  <w:style w:type="character" w:styleId="Lienhypertextesuivivisit">
    <w:name w:val="FollowedHyperlink"/>
    <w:basedOn w:val="Policepardfaut"/>
    <w:uiPriority w:val="99"/>
    <w:semiHidden/>
    <w:unhideWhenUsed/>
    <w:rsid w:val="00215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527">
      <w:bodyDiv w:val="1"/>
      <w:marLeft w:val="0"/>
      <w:marRight w:val="0"/>
      <w:marTop w:val="0"/>
      <w:marBottom w:val="0"/>
      <w:divBdr>
        <w:top w:val="none" w:sz="0" w:space="0" w:color="auto"/>
        <w:left w:val="none" w:sz="0" w:space="0" w:color="auto"/>
        <w:bottom w:val="none" w:sz="0" w:space="0" w:color="auto"/>
        <w:right w:val="none" w:sz="0" w:space="0" w:color="auto"/>
      </w:divBdr>
    </w:div>
    <w:div w:id="1436244418">
      <w:bodyDiv w:val="1"/>
      <w:marLeft w:val="0"/>
      <w:marRight w:val="0"/>
      <w:marTop w:val="0"/>
      <w:marBottom w:val="0"/>
      <w:divBdr>
        <w:top w:val="none" w:sz="0" w:space="0" w:color="auto"/>
        <w:left w:val="none" w:sz="0" w:space="0" w:color="auto"/>
        <w:bottom w:val="none" w:sz="0" w:space="0" w:color="auto"/>
        <w:right w:val="none" w:sz="0" w:space="0" w:color="auto"/>
      </w:divBdr>
    </w:div>
    <w:div w:id="15441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forumphyto.fr/2016/04/01/pours-sourire-et-sinstruire-statisticien-epidemiologiste-astrologue-quel-scientifique-etes-vou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spb.royalsocietypublishing.org/content/282/1819/20152110" TargetMode="External"/><Relationship Id="rId2" Type="http://schemas.openxmlformats.org/officeDocument/2006/relationships/hyperlink" Target="http://ehp.niehs.nih.gov/1408630/" TargetMode="External"/><Relationship Id="rId1" Type="http://schemas.openxmlformats.org/officeDocument/2006/relationships/hyperlink" Target="http://ehp.niehs.nih.gov/1408630/" TargetMode="External"/><Relationship Id="rId4" Type="http://schemas.openxmlformats.org/officeDocument/2006/relationships/hyperlink" Target="http://press.endocrine.org/doi/full/10.1210/jc.2014-43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F5B4-D7AB-4309-A760-F4591718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3480</Words>
  <Characters>19143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Stoop</dc:creator>
  <cp:lastModifiedBy>PROUST Jean-François</cp:lastModifiedBy>
  <cp:revision>2</cp:revision>
  <dcterms:created xsi:type="dcterms:W3CDTF">2016-05-19T15:34:00Z</dcterms:created>
  <dcterms:modified xsi:type="dcterms:W3CDTF">2016-05-19T15:34:00Z</dcterms:modified>
</cp:coreProperties>
</file>